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D0ABBE">
      <w:pPr>
        <w:spacing w:line="360" w:lineRule="auto"/>
        <w:jc w:val="center"/>
        <w:rPr>
          <w:rFonts w:hint="eastAsia" w:ascii="宋体" w:hAnsi="宋体" w:cs="宋体"/>
          <w:b/>
          <w:bCs/>
          <w:color w:val="000000"/>
          <w:sz w:val="44"/>
          <w:szCs w:val="44"/>
        </w:rPr>
      </w:pPr>
      <w:bookmarkStart w:id="0" w:name="OLE_LINK17"/>
      <w:bookmarkStart w:id="1" w:name="OLE_LINK8"/>
      <w:bookmarkStart w:id="2" w:name="OLE_LINK7"/>
      <w:bookmarkStart w:id="3" w:name="OLE_LINK18"/>
      <w:r>
        <w:rPr>
          <w:rFonts w:hint="eastAsia" w:ascii="宋体" w:hAnsi="宋体" w:cs="宋体"/>
          <w:b/>
          <w:bCs/>
          <w:color w:val="000000"/>
          <w:sz w:val="36"/>
          <w:szCs w:val="36"/>
          <w:lang w:val="en-US" w:eastAsia="zh-CN"/>
        </w:rPr>
        <w:t>凯迪酒店配电改造</w:t>
      </w:r>
      <w:r>
        <w:rPr>
          <w:rFonts w:hint="eastAsia" w:ascii="宋体" w:hAnsi="宋体" w:cs="宋体"/>
          <w:b/>
          <w:bCs/>
          <w:color w:val="000000"/>
          <w:sz w:val="36"/>
          <w:szCs w:val="36"/>
        </w:rPr>
        <w:t>工程</w:t>
      </w:r>
      <w:bookmarkEnd w:id="0"/>
      <w:bookmarkEnd w:id="1"/>
      <w:bookmarkEnd w:id="2"/>
      <w:r>
        <w:rPr>
          <w:rFonts w:hint="eastAsia" w:ascii="宋体" w:hAnsi="宋体" w:cs="宋体"/>
          <w:b/>
          <w:bCs/>
          <w:color w:val="000000"/>
          <w:sz w:val="36"/>
          <w:szCs w:val="36"/>
        </w:rPr>
        <w:t>招标文件</w:t>
      </w:r>
      <w:bookmarkEnd w:id="3"/>
    </w:p>
    <w:p w14:paraId="1239BB5C">
      <w:pPr>
        <w:spacing w:line="360" w:lineRule="auto"/>
        <w:ind w:firstLine="658" w:firstLineChars="235"/>
        <w:rPr>
          <w:rFonts w:ascii="宋体" w:hAnsi="宋体" w:cs="宋体"/>
          <w:sz w:val="28"/>
          <w:szCs w:val="28"/>
        </w:rPr>
      </w:pPr>
      <w:r>
        <w:rPr>
          <w:rFonts w:hint="eastAsia" w:ascii="宋体" w:hAnsi="宋体" w:cs="宋体"/>
          <w:sz w:val="28"/>
          <w:szCs w:val="28"/>
          <w:lang w:val="en-US" w:eastAsia="zh-CN"/>
        </w:rPr>
        <w:t>凯迪酒店配电改造</w:t>
      </w:r>
      <w:r>
        <w:rPr>
          <w:rFonts w:hint="eastAsia" w:ascii="宋体" w:hAnsi="宋体" w:cs="宋体"/>
          <w:sz w:val="28"/>
          <w:szCs w:val="28"/>
        </w:rPr>
        <w:t>工程将采用公开邀请招标方式确定施工单位，欢迎有实力及实践经验的法人单位参加投标。</w:t>
      </w:r>
    </w:p>
    <w:p w14:paraId="05D64318">
      <w:pPr>
        <w:pStyle w:val="2"/>
        <w:spacing w:before="0" w:after="0" w:line="360" w:lineRule="auto"/>
        <w:ind w:firstLine="562" w:firstLineChars="200"/>
        <w:rPr>
          <w:rFonts w:ascii="宋体" w:hAnsi="宋体" w:cs="宋体"/>
          <w:sz w:val="28"/>
          <w:szCs w:val="28"/>
        </w:rPr>
      </w:pPr>
      <w:bookmarkStart w:id="4" w:name="_Toc381990001"/>
      <w:r>
        <w:rPr>
          <w:rFonts w:hint="eastAsia" w:ascii="宋体" w:hAnsi="宋体" w:cs="宋体"/>
          <w:sz w:val="28"/>
          <w:szCs w:val="28"/>
        </w:rPr>
        <w:t>一、项目名称工程地点</w:t>
      </w:r>
      <w:bookmarkEnd w:id="4"/>
    </w:p>
    <w:p w14:paraId="21D2CABF">
      <w:pPr>
        <w:spacing w:line="360" w:lineRule="auto"/>
        <w:ind w:firstLine="560" w:firstLineChars="200"/>
        <w:rPr>
          <w:rFonts w:ascii="宋体" w:hAnsi="宋体" w:cs="宋体"/>
          <w:sz w:val="28"/>
          <w:szCs w:val="28"/>
        </w:rPr>
      </w:pPr>
      <w:r>
        <w:rPr>
          <w:rFonts w:hint="eastAsia" w:ascii="宋体" w:hAnsi="宋体" w:cs="宋体"/>
          <w:color w:val="000000"/>
          <w:sz w:val="28"/>
          <w:szCs w:val="28"/>
        </w:rPr>
        <w:t>项</w:t>
      </w:r>
      <w:r>
        <w:rPr>
          <w:rFonts w:hint="eastAsia" w:ascii="宋体" w:hAnsi="宋体" w:cs="宋体"/>
          <w:sz w:val="28"/>
          <w:szCs w:val="28"/>
        </w:rPr>
        <w:t>目名称:</w:t>
      </w:r>
      <w:r>
        <w:rPr>
          <w:rFonts w:hint="eastAsia" w:ascii="宋体" w:hAnsi="宋体" w:cs="宋体"/>
          <w:sz w:val="28"/>
          <w:szCs w:val="28"/>
          <w:lang w:val="en-US" w:eastAsia="zh-CN"/>
        </w:rPr>
        <w:t>凯迪酒店配电改造</w:t>
      </w:r>
      <w:r>
        <w:rPr>
          <w:rFonts w:hint="eastAsia" w:ascii="宋体" w:hAnsi="宋体" w:cs="宋体"/>
          <w:sz w:val="28"/>
          <w:szCs w:val="28"/>
        </w:rPr>
        <w:t>工程</w:t>
      </w:r>
    </w:p>
    <w:p w14:paraId="7E01FDFA">
      <w:pPr>
        <w:spacing w:line="360" w:lineRule="auto"/>
        <w:ind w:firstLine="560" w:firstLineChars="200"/>
        <w:rPr>
          <w:rFonts w:hint="default" w:ascii="宋体" w:hAnsi="宋体" w:eastAsia="宋体" w:cs="宋体"/>
          <w:sz w:val="28"/>
          <w:szCs w:val="28"/>
          <w:lang w:val="en-US" w:eastAsia="zh-CN"/>
        </w:rPr>
      </w:pPr>
      <w:r>
        <w:rPr>
          <w:rFonts w:hint="eastAsia" w:ascii="宋体" w:hAnsi="宋体" w:cs="宋体"/>
          <w:kern w:val="0"/>
          <w:sz w:val="28"/>
          <w:szCs w:val="28"/>
        </w:rPr>
        <w:t>项目地点:</w:t>
      </w:r>
      <w:bookmarkStart w:id="5" w:name="_Toc381990002"/>
      <w:r>
        <w:rPr>
          <w:rFonts w:hint="eastAsia" w:ascii="宋体" w:hAnsi="宋体" w:cs="宋体"/>
          <w:sz w:val="28"/>
          <w:szCs w:val="28"/>
          <w:lang w:val="en-US" w:eastAsia="zh-CN"/>
        </w:rPr>
        <w:t>恒瑞街23号</w:t>
      </w:r>
    </w:p>
    <w:bookmarkEnd w:id="5"/>
    <w:p w14:paraId="44186440">
      <w:pPr>
        <w:numPr>
          <w:ilvl w:val="0"/>
          <w:numId w:val="1"/>
        </w:numPr>
        <w:ind w:firstLine="562" w:firstLineChars="200"/>
        <w:rPr>
          <w:rFonts w:hint="eastAsia" w:ascii="宋体" w:hAnsi="宋体" w:cs="宋体"/>
          <w:b/>
          <w:bCs/>
          <w:kern w:val="0"/>
          <w:sz w:val="28"/>
          <w:szCs w:val="28"/>
        </w:rPr>
      </w:pPr>
      <w:r>
        <w:rPr>
          <w:rFonts w:hint="eastAsia" w:ascii="宋体" w:hAnsi="宋体" w:cs="宋体"/>
          <w:b/>
          <w:bCs/>
          <w:kern w:val="0"/>
          <w:sz w:val="28"/>
          <w:szCs w:val="28"/>
        </w:rPr>
        <w:t>工程基本情况</w:t>
      </w:r>
    </w:p>
    <w:p w14:paraId="435AE0A5">
      <w:pPr>
        <w:pStyle w:val="2"/>
        <w:spacing w:before="0" w:after="0" w:line="240" w:lineRule="auto"/>
        <w:ind w:firstLine="560" w:firstLineChars="200"/>
        <w:rPr>
          <w:rFonts w:hint="default" w:ascii="宋体" w:hAnsi="宋体" w:eastAsia="宋体" w:cs="宋体"/>
          <w:b w:val="0"/>
          <w:bCs w:val="0"/>
          <w:kern w:val="2"/>
          <w:sz w:val="28"/>
          <w:szCs w:val="28"/>
          <w:lang w:val="en-US" w:eastAsia="zh-CN" w:bidi="ar-SA"/>
        </w:rPr>
      </w:pPr>
      <w:bookmarkStart w:id="6" w:name="_Toc381990003"/>
      <w:r>
        <w:rPr>
          <w:rFonts w:hint="eastAsia" w:ascii="宋体" w:hAnsi="宋体" w:cs="宋体"/>
          <w:b w:val="0"/>
          <w:bCs w:val="0"/>
          <w:kern w:val="2"/>
          <w:sz w:val="28"/>
          <w:szCs w:val="28"/>
          <w:lang w:val="en-US" w:eastAsia="zh-CN" w:bidi="ar-SA"/>
        </w:rPr>
        <w:t>凯迪酒店电缆及配电改造</w:t>
      </w:r>
    </w:p>
    <w:p w14:paraId="52C99C7E">
      <w:pPr>
        <w:pStyle w:val="2"/>
        <w:spacing w:before="0" w:after="0" w:line="240" w:lineRule="auto"/>
        <w:ind w:firstLine="562" w:firstLineChars="200"/>
        <w:rPr>
          <w:rFonts w:ascii="宋体" w:hAnsi="宋体" w:cs="宋体"/>
          <w:kern w:val="0"/>
          <w:sz w:val="28"/>
          <w:szCs w:val="28"/>
        </w:rPr>
      </w:pPr>
      <w:r>
        <w:rPr>
          <w:rFonts w:hint="eastAsia" w:ascii="宋体" w:hAnsi="宋体" w:cs="宋体"/>
          <w:kern w:val="0"/>
          <w:sz w:val="28"/>
          <w:szCs w:val="28"/>
        </w:rPr>
        <w:t>三、招标范围</w:t>
      </w:r>
    </w:p>
    <w:bookmarkEnd w:id="6"/>
    <w:p w14:paraId="32C5F79C">
      <w:pPr>
        <w:spacing w:line="360" w:lineRule="auto"/>
        <w:ind w:firstLine="560" w:firstLineChars="200"/>
        <w:rPr>
          <w:rFonts w:hint="default" w:ascii="宋体" w:hAnsi="宋体" w:cs="宋体"/>
          <w:sz w:val="28"/>
          <w:szCs w:val="28"/>
          <w:lang w:val="en-US"/>
        </w:rPr>
      </w:pPr>
      <w:bookmarkStart w:id="7" w:name="_Toc381990004"/>
      <w:r>
        <w:rPr>
          <w:rFonts w:hint="eastAsia" w:ascii="宋体" w:hAnsi="宋体" w:cs="宋体"/>
          <w:sz w:val="28"/>
          <w:szCs w:val="28"/>
          <w:lang w:val="en-US" w:eastAsia="zh-CN"/>
        </w:rPr>
        <w:t>凯迪酒店电缆采购敷设及配电改造</w:t>
      </w:r>
    </w:p>
    <w:p w14:paraId="77EEAEB9">
      <w:pPr>
        <w:spacing w:line="360" w:lineRule="auto"/>
        <w:ind w:firstLine="562" w:firstLineChars="200"/>
        <w:rPr>
          <w:rFonts w:ascii="宋体" w:hAnsi="宋体" w:cs="宋体"/>
          <w:b/>
          <w:sz w:val="28"/>
          <w:szCs w:val="28"/>
        </w:rPr>
      </w:pPr>
      <w:r>
        <w:rPr>
          <w:rFonts w:hint="eastAsia" w:ascii="宋体" w:hAnsi="宋体" w:cs="宋体"/>
          <w:b/>
          <w:sz w:val="28"/>
          <w:szCs w:val="28"/>
        </w:rPr>
        <w:t>四、要求投标人条件：</w:t>
      </w:r>
      <w:bookmarkEnd w:id="7"/>
    </w:p>
    <w:p w14:paraId="3AF77302">
      <w:pPr>
        <w:tabs>
          <w:tab w:val="left" w:pos="1125"/>
        </w:tabs>
        <w:ind w:firstLine="560" w:firstLineChars="200"/>
        <w:rPr>
          <w:rFonts w:hint="eastAsia" w:ascii="宋体" w:hAnsi="宋体" w:cs="宋体"/>
          <w:sz w:val="28"/>
          <w:szCs w:val="28"/>
        </w:rPr>
      </w:pPr>
      <w:r>
        <w:rPr>
          <w:rFonts w:hint="eastAsia" w:ascii="宋体" w:hAnsi="宋体" w:cs="宋体"/>
          <w:sz w:val="28"/>
          <w:szCs w:val="28"/>
        </w:rPr>
        <w:t>1、投标单位必须具有独立法人资格。</w:t>
      </w:r>
    </w:p>
    <w:p w14:paraId="3E46AF12">
      <w:pPr>
        <w:tabs>
          <w:tab w:val="left" w:pos="1125"/>
        </w:tabs>
        <w:ind w:firstLine="560" w:firstLineChars="200"/>
        <w:rPr>
          <w:rFonts w:hint="eastAsia" w:ascii="宋体" w:hAnsi="宋体" w:cs="宋体"/>
          <w:sz w:val="28"/>
          <w:szCs w:val="28"/>
        </w:rPr>
      </w:pPr>
      <w:r>
        <w:rPr>
          <w:rFonts w:hint="eastAsia" w:ascii="宋体" w:hAnsi="宋体" w:cs="宋体"/>
          <w:sz w:val="28"/>
          <w:szCs w:val="28"/>
        </w:rPr>
        <w:t>2、投标单位近二年来主要工程施工业绩，要求提供合同。</w:t>
      </w:r>
    </w:p>
    <w:p w14:paraId="5BA016D0">
      <w:pPr>
        <w:tabs>
          <w:tab w:val="left" w:pos="1125"/>
        </w:tabs>
        <w:ind w:firstLine="560" w:firstLineChars="200"/>
        <w:rPr>
          <w:rFonts w:hint="eastAsia" w:ascii="宋体" w:hAnsi="宋体" w:cs="宋体"/>
          <w:sz w:val="28"/>
          <w:szCs w:val="28"/>
        </w:rPr>
      </w:pPr>
      <w:r>
        <w:rPr>
          <w:rFonts w:hint="eastAsia" w:ascii="宋体" w:hAnsi="宋体" w:cs="宋体"/>
          <w:sz w:val="28"/>
          <w:szCs w:val="28"/>
        </w:rPr>
        <w:t>3、</w:t>
      </w:r>
      <w:r>
        <w:rPr>
          <w:rFonts w:hint="eastAsia" w:ascii="宋体" w:hAnsi="宋体" w:cs="宋体"/>
          <w:b/>
          <w:bCs/>
          <w:sz w:val="28"/>
          <w:szCs w:val="28"/>
        </w:rPr>
        <w:t>投标单位必须具备电力工程二级及以上资质以及承装电力设施资质，</w:t>
      </w:r>
      <w:r>
        <w:rPr>
          <w:rFonts w:hint="eastAsia" w:ascii="宋体" w:hAnsi="宋体" w:cs="宋体"/>
          <w:sz w:val="28"/>
          <w:szCs w:val="28"/>
        </w:rPr>
        <w:t>具有承包本工程项目相匹配的资金实力，管理技术水平和良好的售后服务保修能力。</w:t>
      </w:r>
    </w:p>
    <w:p w14:paraId="38BBAE0F">
      <w:pPr>
        <w:tabs>
          <w:tab w:val="left" w:pos="1125"/>
        </w:tabs>
        <w:ind w:firstLine="560" w:firstLineChars="200"/>
        <w:rPr>
          <w:rFonts w:hint="eastAsia" w:ascii="宋体" w:hAnsi="宋体"/>
          <w:sz w:val="28"/>
          <w:szCs w:val="28"/>
        </w:rPr>
      </w:pPr>
      <w:r>
        <w:rPr>
          <w:rFonts w:hint="eastAsia" w:ascii="宋体" w:hAnsi="宋体" w:cs="宋体"/>
          <w:sz w:val="28"/>
          <w:szCs w:val="28"/>
        </w:rPr>
        <w:t>4、将严格按照招标文件所承诺的报价、质量、工期等内容组织实施，绝不转包、分包。</w:t>
      </w:r>
    </w:p>
    <w:p w14:paraId="782C3663">
      <w:pPr>
        <w:ind w:firstLine="560" w:firstLineChars="200"/>
        <w:rPr>
          <w:rFonts w:hint="eastAsia" w:ascii="宋体" w:hAnsi="宋体"/>
          <w:sz w:val="28"/>
          <w:szCs w:val="28"/>
        </w:rPr>
      </w:pPr>
      <w:r>
        <w:rPr>
          <w:rFonts w:hint="eastAsia" w:ascii="宋体" w:hAnsi="宋体"/>
          <w:sz w:val="28"/>
          <w:szCs w:val="28"/>
        </w:rPr>
        <w:t>5、具有良好的商业信誉和履行合同的能力。</w:t>
      </w:r>
    </w:p>
    <w:p w14:paraId="0CB9E9A8">
      <w:pPr>
        <w:ind w:firstLine="560" w:firstLineChars="200"/>
        <w:rPr>
          <w:rFonts w:hint="eastAsia" w:ascii="宋体" w:hAnsi="宋体"/>
          <w:sz w:val="28"/>
          <w:szCs w:val="28"/>
        </w:rPr>
      </w:pPr>
      <w:r>
        <w:rPr>
          <w:rFonts w:hint="eastAsia" w:ascii="宋体" w:hAnsi="宋体"/>
          <w:sz w:val="28"/>
          <w:szCs w:val="28"/>
        </w:rPr>
        <w:t>6、在以往的市场活动中没有违法、违规、违纪、违约行为。</w:t>
      </w:r>
    </w:p>
    <w:p w14:paraId="5ACA02E4">
      <w:pPr>
        <w:ind w:firstLine="560" w:firstLineChars="200"/>
        <w:rPr>
          <w:rFonts w:hint="eastAsia" w:ascii="宋体" w:hAnsi="宋体"/>
          <w:sz w:val="28"/>
          <w:szCs w:val="28"/>
        </w:rPr>
      </w:pPr>
      <w:r>
        <w:rPr>
          <w:rFonts w:hint="eastAsia" w:ascii="宋体" w:hAnsi="宋体"/>
          <w:sz w:val="28"/>
          <w:szCs w:val="28"/>
        </w:rPr>
        <w:t>7、投标人及参与本次投标的相关人员不得为失信被执行人，投标人不得在国家企业信用信息公示系统中被列入严重违法失信企业名单。</w:t>
      </w:r>
    </w:p>
    <w:p w14:paraId="6AF5DFFD">
      <w:pPr>
        <w:ind w:firstLine="560" w:firstLineChars="200"/>
        <w:rPr>
          <w:rFonts w:hint="eastAsia" w:ascii="宋体" w:hAnsi="宋体"/>
          <w:kern w:val="0"/>
          <w:sz w:val="28"/>
          <w:szCs w:val="28"/>
        </w:rPr>
      </w:pPr>
      <w:r>
        <w:rPr>
          <w:rFonts w:hint="eastAsia" w:ascii="宋体" w:hAnsi="宋体"/>
          <w:sz w:val="28"/>
          <w:szCs w:val="28"/>
        </w:rPr>
        <w:t>8、</w:t>
      </w:r>
      <w:r>
        <w:rPr>
          <w:rFonts w:hint="eastAsia" w:ascii="宋体" w:hAnsi="宋体"/>
          <w:kern w:val="0"/>
          <w:sz w:val="28"/>
          <w:szCs w:val="28"/>
        </w:rPr>
        <w:t>本次招标不接受联合体投标。</w:t>
      </w:r>
    </w:p>
    <w:p w14:paraId="0918D0BB">
      <w:pPr>
        <w:spacing w:line="360" w:lineRule="auto"/>
        <w:ind w:firstLine="562" w:firstLineChars="200"/>
        <w:rPr>
          <w:rFonts w:ascii="宋体" w:hAnsi="宋体" w:cs="宋体"/>
          <w:b/>
          <w:kern w:val="0"/>
          <w:sz w:val="28"/>
          <w:szCs w:val="28"/>
        </w:rPr>
      </w:pPr>
      <w:r>
        <w:rPr>
          <w:rFonts w:hint="eastAsia" w:ascii="宋体" w:hAnsi="宋体" w:cs="宋体"/>
          <w:b/>
          <w:kern w:val="0"/>
          <w:sz w:val="28"/>
          <w:szCs w:val="28"/>
        </w:rPr>
        <w:t>五、技术要求及材料要求</w:t>
      </w:r>
    </w:p>
    <w:p w14:paraId="0CCD96BE">
      <w:pPr>
        <w:spacing w:line="480" w:lineRule="exact"/>
        <w:ind w:firstLine="560" w:firstLineChars="200"/>
        <w:jc w:val="left"/>
        <w:rPr>
          <w:rFonts w:ascii="宋体" w:hAnsi="宋体" w:cs="宋体"/>
          <w:bCs/>
          <w:sz w:val="28"/>
          <w:szCs w:val="28"/>
        </w:rPr>
      </w:pPr>
      <w:bookmarkStart w:id="8" w:name="_Toc381990005"/>
      <w:r>
        <w:rPr>
          <w:rFonts w:hint="eastAsia" w:ascii="宋体" w:hAnsi="宋体" w:cs="宋体"/>
          <w:bCs/>
          <w:sz w:val="28"/>
          <w:szCs w:val="28"/>
        </w:rPr>
        <w:t>1、工程施工标准按GB50168等国家现行施工验收规范执行，工程质量各项指标参照国家规范及行业标准、技术规范必须达到合格。</w:t>
      </w:r>
    </w:p>
    <w:p w14:paraId="7D2C422D">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2、设备、材料的质量要求：满足国家相关标准规范要求，要求质量合格，并满足招标人提供的施工图纸中的技术要求。投标人应保证所供设备是全新及未使用过的，其质量应符合设计、规范及合同的要求。</w:t>
      </w:r>
    </w:p>
    <w:p w14:paraId="3873D5BF">
      <w:pPr>
        <w:spacing w:line="480" w:lineRule="exact"/>
        <w:ind w:firstLine="560" w:firstLineChars="200"/>
        <w:jc w:val="left"/>
        <w:rPr>
          <w:rFonts w:hint="eastAsia" w:ascii="宋体" w:hAnsi="宋体" w:eastAsia="宋体" w:cs="宋体"/>
          <w:bCs/>
          <w:color w:val="0000FF"/>
          <w:sz w:val="28"/>
          <w:szCs w:val="28"/>
          <w:lang w:val="en-US" w:eastAsia="zh-CN"/>
        </w:rPr>
      </w:pPr>
      <w:r>
        <w:rPr>
          <w:rFonts w:hint="eastAsia" w:ascii="宋体" w:hAnsi="宋体" w:cs="宋体"/>
          <w:bCs/>
          <w:color w:val="0000FF"/>
          <w:sz w:val="28"/>
          <w:szCs w:val="28"/>
          <w:u w:val="single"/>
          <w:lang w:val="en-US" w:eastAsia="zh-CN"/>
        </w:rPr>
        <w:t>开关（参考品牌：正泰或同等品牌）</w:t>
      </w:r>
    </w:p>
    <w:p w14:paraId="1B616389">
      <w:pPr>
        <w:spacing w:line="480" w:lineRule="exact"/>
        <w:ind w:firstLine="560" w:firstLineChars="200"/>
        <w:jc w:val="left"/>
        <w:rPr>
          <w:rFonts w:ascii="宋体" w:hAnsi="宋体" w:cs="宋体"/>
          <w:bCs/>
          <w:color w:val="0000FF"/>
          <w:sz w:val="28"/>
          <w:szCs w:val="28"/>
          <w:u w:val="single"/>
        </w:rPr>
      </w:pPr>
      <w:r>
        <w:rPr>
          <w:rFonts w:hint="eastAsia" w:ascii="宋体" w:hAnsi="宋体" w:cs="宋体"/>
          <w:bCs/>
          <w:color w:val="0000FF"/>
          <w:sz w:val="28"/>
          <w:szCs w:val="28"/>
          <w:u w:val="single"/>
        </w:rPr>
        <w:t>电缆：（参考品牌：山东昆嵛或同等品牌）。</w:t>
      </w:r>
    </w:p>
    <w:p w14:paraId="2018E5F1">
      <w:pPr>
        <w:spacing w:line="480" w:lineRule="exact"/>
        <w:ind w:firstLine="560" w:firstLineChars="200"/>
        <w:jc w:val="left"/>
        <w:rPr>
          <w:rFonts w:ascii="宋体" w:hAnsi="宋体" w:cs="宋体"/>
          <w:bCs/>
          <w:color w:val="0000FF"/>
          <w:sz w:val="28"/>
          <w:szCs w:val="28"/>
        </w:rPr>
      </w:pPr>
      <w:r>
        <w:rPr>
          <w:rFonts w:hint="eastAsia" w:ascii="宋体" w:hAnsi="宋体" w:cs="宋体"/>
          <w:bCs/>
          <w:color w:val="0000FF"/>
          <w:sz w:val="28"/>
          <w:szCs w:val="28"/>
          <w:u w:val="single"/>
        </w:rPr>
        <w:t>桥架：采用镀锌喷塑（国标）</w:t>
      </w:r>
      <w:r>
        <w:rPr>
          <w:rFonts w:hint="eastAsia" w:ascii="宋体" w:hAnsi="宋体" w:cs="宋体"/>
          <w:bCs/>
          <w:color w:val="0000FF"/>
          <w:sz w:val="28"/>
          <w:szCs w:val="28"/>
        </w:rPr>
        <w:t>。</w:t>
      </w:r>
    </w:p>
    <w:p w14:paraId="42BCCFCB">
      <w:pPr>
        <w:spacing w:line="480" w:lineRule="exact"/>
        <w:ind w:firstLine="562" w:firstLineChars="200"/>
        <w:jc w:val="left"/>
        <w:rPr>
          <w:rFonts w:ascii="宋体" w:hAnsi="宋体" w:cs="宋体"/>
          <w:b/>
          <w:sz w:val="28"/>
          <w:szCs w:val="28"/>
        </w:rPr>
      </w:pPr>
      <w:r>
        <w:rPr>
          <w:rFonts w:hint="eastAsia" w:ascii="宋体" w:hAnsi="宋体" w:cs="宋体"/>
          <w:b/>
          <w:sz w:val="28"/>
          <w:szCs w:val="28"/>
        </w:rPr>
        <w:t>六、</w:t>
      </w:r>
      <w:bookmarkEnd w:id="8"/>
      <w:r>
        <w:rPr>
          <w:rFonts w:hint="eastAsia" w:ascii="宋体" w:hAnsi="宋体" w:cs="宋体"/>
          <w:b/>
          <w:sz w:val="28"/>
          <w:szCs w:val="28"/>
        </w:rPr>
        <w:t>施工要求</w:t>
      </w:r>
    </w:p>
    <w:p w14:paraId="48B28B09">
      <w:pPr>
        <w:spacing w:line="480" w:lineRule="exact"/>
        <w:ind w:firstLine="560" w:firstLineChars="200"/>
        <w:jc w:val="left"/>
        <w:rPr>
          <w:rFonts w:ascii="宋体" w:hAnsi="宋体" w:cs="宋体"/>
          <w:sz w:val="28"/>
          <w:szCs w:val="28"/>
        </w:rPr>
      </w:pPr>
      <w:r>
        <w:rPr>
          <w:rFonts w:hint="eastAsia" w:ascii="宋体" w:hAnsi="宋体" w:cs="宋体"/>
          <w:sz w:val="28"/>
          <w:szCs w:val="28"/>
        </w:rPr>
        <w:t>1、</w:t>
      </w:r>
      <w:r>
        <w:rPr>
          <w:rFonts w:hint="eastAsia" w:ascii="宋体" w:hAnsi="宋体" w:cs="宋体"/>
          <w:bCs/>
          <w:sz w:val="28"/>
          <w:szCs w:val="28"/>
        </w:rPr>
        <w:t>材料等进场时，验收合格后方允许安装</w:t>
      </w:r>
      <w:r>
        <w:rPr>
          <w:rFonts w:hint="eastAsia" w:ascii="宋体" w:hAnsi="宋体" w:cs="宋体"/>
          <w:sz w:val="28"/>
          <w:szCs w:val="28"/>
        </w:rPr>
        <w:t>。</w:t>
      </w:r>
    </w:p>
    <w:p w14:paraId="5B4C6B31">
      <w:pPr>
        <w:spacing w:line="480" w:lineRule="exact"/>
        <w:ind w:firstLine="560" w:firstLineChars="200"/>
        <w:jc w:val="left"/>
        <w:rPr>
          <w:rFonts w:ascii="宋体" w:hAnsi="宋体" w:cs="宋体"/>
          <w:sz w:val="28"/>
          <w:szCs w:val="28"/>
        </w:rPr>
      </w:pPr>
      <w:r>
        <w:rPr>
          <w:rFonts w:hint="eastAsia" w:ascii="宋体" w:hAnsi="宋体" w:cs="宋体"/>
          <w:sz w:val="28"/>
          <w:szCs w:val="28"/>
        </w:rPr>
        <w:t>2、中标单位进场施工必须服从工厂方管理和要求，办理施工必要的手续和缴纳保证金（如有），施工要保证防潮隔音。</w:t>
      </w:r>
    </w:p>
    <w:p w14:paraId="62E86261">
      <w:pPr>
        <w:spacing w:line="480" w:lineRule="exact"/>
        <w:ind w:firstLine="560" w:firstLineChars="200"/>
        <w:jc w:val="left"/>
        <w:rPr>
          <w:rFonts w:ascii="宋体" w:hAnsi="宋体" w:cs="宋体"/>
          <w:sz w:val="28"/>
          <w:szCs w:val="28"/>
        </w:rPr>
      </w:pPr>
      <w:r>
        <w:rPr>
          <w:rFonts w:hint="eastAsia" w:ascii="宋体" w:hAnsi="宋体" w:cs="宋体"/>
          <w:sz w:val="28"/>
          <w:szCs w:val="28"/>
        </w:rPr>
        <w:t>4、工程竣工必须经验收合格后，方可办理结算手续（工程完工不提供竣工图纸，则不予结算）。</w:t>
      </w:r>
    </w:p>
    <w:p w14:paraId="66BC8ED9">
      <w:pPr>
        <w:spacing w:line="480" w:lineRule="exact"/>
        <w:ind w:firstLine="560" w:firstLineChars="200"/>
        <w:jc w:val="left"/>
        <w:rPr>
          <w:rFonts w:ascii="宋体" w:hAnsi="宋体" w:cs="宋体"/>
          <w:sz w:val="28"/>
          <w:szCs w:val="28"/>
        </w:rPr>
      </w:pPr>
      <w:r>
        <w:rPr>
          <w:rFonts w:hint="eastAsia" w:ascii="宋体" w:hAnsi="宋体" w:cs="宋体"/>
          <w:sz w:val="28"/>
          <w:szCs w:val="28"/>
        </w:rPr>
        <w:t>5、成品保护：中标人须保护已完工程成品至验收合格后、交付使用之日。如因保护不当而造成的成品、半成品损坏，由中标人自行承担。</w:t>
      </w:r>
    </w:p>
    <w:p w14:paraId="0DC562BF">
      <w:pPr>
        <w:spacing w:line="480" w:lineRule="exact"/>
        <w:ind w:firstLine="560" w:firstLineChars="200"/>
        <w:jc w:val="left"/>
        <w:rPr>
          <w:rFonts w:ascii="宋体" w:hAnsi="宋体" w:cs="宋体"/>
          <w:sz w:val="28"/>
          <w:szCs w:val="28"/>
        </w:rPr>
      </w:pPr>
      <w:r>
        <w:rPr>
          <w:rFonts w:hint="eastAsia" w:ascii="宋体" w:hAnsi="宋体" w:cs="宋体"/>
          <w:sz w:val="28"/>
          <w:szCs w:val="28"/>
        </w:rPr>
        <w:t>6、中标人应注意对已完工产品的保护，如造成产品的损坏，中标人应予赔偿，具体额度由双方协商，协商不成时由建设单位单方确定，中标人不得以任何理由影响工程进度及后期的配合。若对建设单位的决定有异议的，可保留必要的原始记录，在竣工验收后通过合法途径解决。</w:t>
      </w:r>
    </w:p>
    <w:p w14:paraId="5F7C867A">
      <w:pPr>
        <w:spacing w:line="480" w:lineRule="exact"/>
        <w:ind w:firstLine="560" w:firstLineChars="200"/>
        <w:jc w:val="left"/>
        <w:rPr>
          <w:rFonts w:ascii="宋体" w:hAnsi="宋体" w:cs="宋体"/>
          <w:sz w:val="28"/>
          <w:szCs w:val="28"/>
        </w:rPr>
      </w:pPr>
      <w:r>
        <w:rPr>
          <w:rFonts w:hint="eastAsia" w:ascii="宋体" w:hAnsi="宋体" w:cs="宋体"/>
          <w:sz w:val="28"/>
          <w:szCs w:val="28"/>
        </w:rPr>
        <w:t>7、安全施工与防护</w:t>
      </w:r>
    </w:p>
    <w:p w14:paraId="63EB700D">
      <w:pPr>
        <w:spacing w:line="480" w:lineRule="exact"/>
        <w:ind w:firstLine="560" w:firstLineChars="200"/>
        <w:jc w:val="left"/>
        <w:rPr>
          <w:rFonts w:ascii="宋体" w:hAnsi="宋体" w:cs="宋体"/>
          <w:sz w:val="28"/>
          <w:szCs w:val="28"/>
        </w:rPr>
      </w:pPr>
      <w:r>
        <w:rPr>
          <w:rFonts w:hint="eastAsia" w:ascii="宋体" w:hAnsi="宋体" w:cs="宋体"/>
          <w:sz w:val="28"/>
          <w:szCs w:val="28"/>
        </w:rPr>
        <w:t>（1）中标人应遵守工程建设安全生产和防火有关管理规定，严格按安全文明施工标准组织施工，并随时接受行业安全检查人员依法实施的监督检查，采取必要的安全防护和防火措施，消除事故隐患，确保自有工人和作业范围内其他人员的安全不受损害。</w:t>
      </w:r>
    </w:p>
    <w:p w14:paraId="784953B6">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（2）由于中标人安全措施不力造成安全或火灾事故的责任和因此发生的费用，均由中标人承担。</w:t>
      </w:r>
    </w:p>
    <w:p w14:paraId="3402340B">
      <w:pPr>
        <w:spacing w:line="480" w:lineRule="exact"/>
        <w:ind w:firstLine="562" w:firstLineChars="200"/>
        <w:jc w:val="left"/>
        <w:rPr>
          <w:rFonts w:ascii="宋体" w:hAnsi="宋体" w:cs="宋体"/>
          <w:b/>
          <w:sz w:val="28"/>
          <w:szCs w:val="28"/>
        </w:rPr>
      </w:pPr>
      <w:r>
        <w:rPr>
          <w:rFonts w:hint="eastAsia" w:ascii="宋体" w:hAnsi="宋体" w:cs="宋体"/>
          <w:b/>
          <w:sz w:val="28"/>
          <w:szCs w:val="28"/>
        </w:rPr>
        <w:t>七、投标报价</w:t>
      </w:r>
    </w:p>
    <w:p w14:paraId="61AC3575">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1、投标人自行到施工现场踏勘以充分了解其施工环境、工地位置、情况、道路、存储空间、装卸限制及任何其他足以影响承包价及工期的情况，招标人对于现有的施工环境及条件将不增加任何投入，请投标人自行考虑预测风险系数并计入投标报价内，中标后任何因忽视或误解工地情况而导致的索赔或工期延长申请将不获批准。</w:t>
      </w:r>
    </w:p>
    <w:p w14:paraId="54916BA3">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w:t>
      </w:r>
      <w:r>
        <w:rPr>
          <w:rFonts w:hint="eastAsia" w:ascii="宋体" w:hAnsi="宋体" w:cs="宋体"/>
          <w:b/>
          <w:sz w:val="28"/>
          <w:szCs w:val="28"/>
        </w:rPr>
        <w:t>投标报价采用大包价形式，</w:t>
      </w:r>
      <w:r>
        <w:rPr>
          <w:rFonts w:hint="eastAsia" w:ascii="宋体" w:hAnsi="宋体" w:cs="宋体"/>
          <w:bCs/>
          <w:sz w:val="28"/>
          <w:szCs w:val="28"/>
        </w:rPr>
        <w:t>报价包括人工费、材料费、机械费、垂直运输费、二次搬运费、管理费、利润、税金、措施费、规费、安全文明施工费、成品保护费、施工用水用电费等以及各种明示或隐含的风险、责任和义务，投标人应考虑周全，凡发生缺项、漏项等风险自负(甲方变更部分除外)。</w:t>
      </w:r>
    </w:p>
    <w:p w14:paraId="4B61CBB7">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3、清单报价范围内工程量计算错误或漏项的风险由投标人承担（由投标人自行进行核实），招标人视为已包含在大包价内，中标后一律不再增加。（注：由于设计变更、现场变更引起的工程量清单项目或清单项目工程数量的增减，均按实调整。）</w:t>
      </w:r>
    </w:p>
    <w:p w14:paraId="3D03D18B">
      <w:pPr>
        <w:spacing w:line="480" w:lineRule="exact"/>
        <w:ind w:firstLine="562" w:firstLineChars="200"/>
        <w:jc w:val="left"/>
        <w:rPr>
          <w:rFonts w:ascii="宋体" w:hAnsi="宋体" w:cs="宋体"/>
          <w:b w:val="0"/>
          <w:bCs/>
          <w:sz w:val="28"/>
          <w:szCs w:val="28"/>
        </w:rPr>
      </w:pPr>
      <w:r>
        <w:rPr>
          <w:rFonts w:hint="eastAsia" w:ascii="宋体" w:hAnsi="宋体" w:cs="宋体"/>
          <w:b/>
          <w:bCs/>
          <w:sz w:val="28"/>
          <w:szCs w:val="28"/>
        </w:rPr>
        <w:t>4、</w:t>
      </w:r>
      <w:r>
        <w:rPr>
          <w:rFonts w:hint="eastAsia" w:ascii="宋体" w:hAnsi="宋体" w:cs="宋体"/>
          <w:b/>
          <w:color w:val="auto"/>
          <w:sz w:val="28"/>
          <w:szCs w:val="28"/>
        </w:rPr>
        <w:t>中标单位的企业法人（或实际控制人）需作为担保人承担连带担保责任，质保期内按约定履行相关质量保障，质保期内发生工程质量问题免费维修。</w:t>
      </w:r>
      <w:r>
        <w:rPr>
          <w:rFonts w:hint="eastAsia" w:ascii="宋体" w:hAnsi="宋体" w:cs="宋体"/>
          <w:b w:val="0"/>
          <w:bCs/>
          <w:color w:val="auto"/>
          <w:sz w:val="28"/>
          <w:szCs w:val="28"/>
        </w:rPr>
        <w:t>若</w:t>
      </w:r>
      <w:r>
        <w:rPr>
          <w:rFonts w:hint="eastAsia" w:ascii="宋体" w:hAnsi="宋体" w:cs="宋体"/>
          <w:b w:val="0"/>
          <w:bCs/>
          <w:sz w:val="28"/>
          <w:szCs w:val="28"/>
        </w:rPr>
        <w:t>中标人未按要求履约，招标人有权自行委托第三方进行维修，费用及风险由中标人和担保人承担，中标人不支付相关费用，由担保人支付；如担保人拒绝支付，招标人有权起诉并追索担保人相关财产，用于支付维修相关费用。</w:t>
      </w:r>
    </w:p>
    <w:p w14:paraId="59F80A97">
      <w:pPr>
        <w:spacing w:line="480" w:lineRule="exact"/>
        <w:ind w:firstLine="562" w:firstLineChars="200"/>
        <w:jc w:val="left"/>
        <w:rPr>
          <w:rFonts w:hint="eastAsia" w:ascii="宋体" w:hAnsi="宋体" w:eastAsia="宋体" w:cs="宋体"/>
          <w:b/>
          <w:sz w:val="28"/>
          <w:szCs w:val="28"/>
          <w:lang w:eastAsia="zh-CN"/>
        </w:rPr>
      </w:pPr>
      <w:r>
        <w:rPr>
          <w:rFonts w:hint="eastAsia" w:ascii="宋体" w:hAnsi="宋体" w:cs="宋体"/>
          <w:b/>
          <w:sz w:val="28"/>
          <w:szCs w:val="28"/>
        </w:rPr>
        <w:t>八、评标</w:t>
      </w:r>
      <w:r>
        <w:rPr>
          <w:rFonts w:hint="eastAsia" w:ascii="宋体" w:hAnsi="宋体" w:cs="宋体"/>
          <w:b/>
          <w:sz w:val="28"/>
          <w:szCs w:val="28"/>
          <w:lang w:eastAsia="zh-CN"/>
        </w:rPr>
        <w:t>规则</w:t>
      </w:r>
    </w:p>
    <w:p w14:paraId="3FA7EA17">
      <w:pPr>
        <w:ind w:firstLine="562" w:firstLineChars="200"/>
        <w:jc w:val="left"/>
        <w:rPr>
          <w:rFonts w:ascii="宋体" w:hAnsi="宋体" w:cs="宋体"/>
          <w:b/>
          <w:bCs/>
          <w:sz w:val="28"/>
          <w:szCs w:val="28"/>
        </w:rPr>
      </w:pPr>
      <w:bookmarkStart w:id="9" w:name="_Toc381990006"/>
      <w:r>
        <w:rPr>
          <w:rFonts w:hint="eastAsia" w:ascii="宋体" w:hAnsi="宋体" w:cs="宋体"/>
          <w:b/>
          <w:bCs/>
          <w:sz w:val="28"/>
          <w:szCs w:val="28"/>
        </w:rPr>
        <w:t>1、原则上采用二次报价即定标原则。清单无误、品牌等各项标准符合甲方要求，招标实行淘汰第一轮最高价的规定；若投标单位为三家或三家以下，或品牌等各项标准不统一（相关单位需在开标现场当场提出，并由投标单位之间相互举证说明），则不执行此规定</w:t>
      </w:r>
      <w:r>
        <w:rPr>
          <w:rFonts w:hint="eastAsia" w:ascii="宋体" w:hAnsi="宋体" w:cs="宋体"/>
          <w:b/>
          <w:bCs/>
          <w:snapToGrid w:val="0"/>
          <w:spacing w:val="1"/>
          <w:kern w:val="50"/>
          <w:sz w:val="28"/>
          <w:szCs w:val="28"/>
        </w:rPr>
        <w:t>。</w:t>
      </w:r>
    </w:p>
    <w:p w14:paraId="02C853CE">
      <w:pPr>
        <w:ind w:firstLine="560" w:firstLineChars="200"/>
        <w:jc w:val="left"/>
        <w:rPr>
          <w:rFonts w:ascii="宋体" w:hAnsi="宋体" w:cs="宋体"/>
          <w:sz w:val="28"/>
          <w:szCs w:val="28"/>
        </w:rPr>
      </w:pPr>
      <w:r>
        <w:rPr>
          <w:rFonts w:hint="eastAsia" w:ascii="宋体" w:hAnsi="宋体" w:cs="宋体"/>
          <w:sz w:val="28"/>
          <w:szCs w:val="28"/>
        </w:rPr>
        <w:t>2、招标第一轮，密封送达，现场公开唱标，并做技术答疑。</w:t>
      </w:r>
    </w:p>
    <w:p w14:paraId="67D7FC53">
      <w:pPr>
        <w:ind w:firstLine="560" w:firstLineChars="200"/>
        <w:jc w:val="left"/>
        <w:rPr>
          <w:rFonts w:ascii="宋体" w:hAnsi="宋体" w:cs="宋体"/>
          <w:sz w:val="28"/>
          <w:szCs w:val="28"/>
        </w:rPr>
      </w:pPr>
      <w:r>
        <w:rPr>
          <w:rFonts w:hint="eastAsia" w:ascii="宋体" w:hAnsi="宋体" w:cs="宋体"/>
          <w:sz w:val="28"/>
          <w:szCs w:val="28"/>
        </w:rPr>
        <w:t>3、入围第二轮的投标人的二轮报价，密封送达，现场公开开标。</w:t>
      </w:r>
    </w:p>
    <w:p w14:paraId="26A336E5">
      <w:pPr>
        <w:jc w:val="left"/>
        <w:rPr>
          <w:rFonts w:ascii="宋体" w:hAnsi="宋体" w:cs="宋体"/>
          <w:b/>
          <w:bCs/>
          <w:sz w:val="28"/>
          <w:szCs w:val="28"/>
        </w:rPr>
      </w:pPr>
      <w:r>
        <w:rPr>
          <w:rFonts w:hint="eastAsia" w:ascii="宋体" w:hAnsi="宋体" w:cs="宋体"/>
          <w:b/>
          <w:bCs/>
          <w:sz w:val="28"/>
          <w:szCs w:val="28"/>
        </w:rPr>
        <w:t>重要备注：二轮报价高于一轮报价，做废标处理。</w:t>
      </w:r>
    </w:p>
    <w:p w14:paraId="07D71EC7">
      <w:p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4、重要评标原则：</w:t>
      </w:r>
      <w:r>
        <w:rPr>
          <w:rFonts w:hint="eastAsia" w:ascii="宋体" w:hAnsi="宋体" w:cs="宋体"/>
          <w:b/>
          <w:bCs/>
          <w:snapToGrid w:val="0"/>
          <w:spacing w:val="1"/>
          <w:kern w:val="50"/>
          <w:sz w:val="28"/>
          <w:szCs w:val="28"/>
        </w:rPr>
        <w:t>实行3%价格保护规则；</w:t>
      </w:r>
    </w:p>
    <w:p w14:paraId="37DA7EF6">
      <w:pPr>
        <w:spacing w:line="360" w:lineRule="auto"/>
        <w:jc w:val="left"/>
        <w:rPr>
          <w:rFonts w:ascii="宋体" w:hAnsi="宋体" w:cs="宋体"/>
          <w:b/>
          <w:bCs/>
          <w:snapToGrid w:val="0"/>
          <w:spacing w:val="1"/>
          <w:kern w:val="50"/>
          <w:sz w:val="28"/>
          <w:szCs w:val="28"/>
        </w:rPr>
      </w:pPr>
      <w:r>
        <w:rPr>
          <w:rFonts w:hint="eastAsia" w:ascii="宋体" w:hAnsi="宋体" w:cs="宋体"/>
          <w:b/>
          <w:bCs/>
          <w:snapToGrid w:val="0"/>
          <w:spacing w:val="1"/>
          <w:kern w:val="50"/>
          <w:sz w:val="28"/>
          <w:szCs w:val="28"/>
        </w:rPr>
        <w:t>注释：一轮报价最低的投标单位获得优先谈判权（清单审核无误）；二轮报价时，获得优先谈判权的投标单位若不是最低价，但二轮报价与最低价差价在3%以内（含3%），则优先约谈该投标单位。</w:t>
      </w:r>
    </w:p>
    <w:p w14:paraId="524835E3">
      <w:pPr>
        <w:spacing w:line="360" w:lineRule="auto"/>
        <w:ind w:firstLine="564" w:firstLineChars="200"/>
        <w:jc w:val="left"/>
        <w:rPr>
          <w:sz w:val="28"/>
          <w:szCs w:val="28"/>
        </w:rPr>
      </w:pPr>
      <w:r>
        <w:rPr>
          <w:rFonts w:hint="eastAsia" w:ascii="宋体" w:hAnsi="宋体" w:cs="宋体"/>
          <w:snapToGrid w:val="0"/>
          <w:spacing w:val="1"/>
          <w:kern w:val="50"/>
          <w:sz w:val="28"/>
          <w:szCs w:val="28"/>
        </w:rPr>
        <w:t>5、投标单位须严格按照招标书内容要求编订符合规定的报价清单，并对招标文件内容清楚无异议；一轮报价公开各单位确认清单统一标准后不得进行修改变更，如因投标单位自身原因导致报价错误不想继续参加竞标的，投标方同意由招标方全额扣除投标保证金</w:t>
      </w:r>
      <w:r>
        <w:rPr>
          <w:rFonts w:hint="eastAsia" w:ascii="宋体" w:hAnsi="宋体" w:cs="宋体"/>
          <w:sz w:val="28"/>
          <w:szCs w:val="28"/>
        </w:rPr>
        <w:t>。</w:t>
      </w:r>
    </w:p>
    <w:bookmarkEnd w:id="9"/>
    <w:p w14:paraId="4509E649">
      <w:pPr>
        <w:spacing w:line="360" w:lineRule="auto"/>
        <w:ind w:firstLine="562" w:firstLineChars="200"/>
        <w:jc w:val="left"/>
        <w:rPr>
          <w:rFonts w:ascii="宋体" w:hAnsi="宋体" w:cs="宋体"/>
          <w:b/>
          <w:bCs/>
          <w:sz w:val="28"/>
          <w:szCs w:val="28"/>
        </w:rPr>
      </w:pPr>
      <w:bookmarkStart w:id="10" w:name="_Toc381990007"/>
      <w:r>
        <w:rPr>
          <w:rFonts w:hint="eastAsia" w:ascii="宋体" w:hAnsi="宋体" w:cs="宋体"/>
          <w:b/>
          <w:bCs/>
          <w:sz w:val="28"/>
          <w:szCs w:val="28"/>
        </w:rPr>
        <w:t>九、评标方法：</w:t>
      </w:r>
    </w:p>
    <w:p w14:paraId="6D5FD6A7">
      <w:p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1、本次招标采用的评标方法为综合评审，招标人将对技术标内容及各项综合指标进行打分，按照综合评分由高到低的顺序对投标人进行排序，评分排序将作为重要依据供招标人参考，招标人根据评分及工程实际情况内部评审并确认最终中标结果，涉及到</w:t>
      </w:r>
      <w:r>
        <w:rPr>
          <w:rFonts w:hint="eastAsia" w:ascii="宋体" w:hAnsi="宋体" w:cs="宋体"/>
          <w:b/>
          <w:bCs/>
          <w:snapToGrid w:val="0"/>
          <w:spacing w:val="1"/>
          <w:kern w:val="50"/>
          <w:sz w:val="28"/>
          <w:szCs w:val="28"/>
        </w:rPr>
        <w:t>3%价格保护规则的，则优先按规则执行</w:t>
      </w:r>
      <w:r>
        <w:rPr>
          <w:rFonts w:hint="eastAsia" w:ascii="宋体" w:hAnsi="宋体" w:cs="宋体"/>
          <w:b/>
          <w:bCs/>
          <w:sz w:val="28"/>
          <w:szCs w:val="28"/>
        </w:rPr>
        <w:t>。</w:t>
      </w:r>
    </w:p>
    <w:p w14:paraId="704C2119">
      <w:pPr>
        <w:spacing w:line="360" w:lineRule="auto"/>
        <w:ind w:firstLine="560" w:firstLineChars="200"/>
        <w:jc w:val="left"/>
        <w:rPr>
          <w:rFonts w:ascii="宋体" w:hAnsi="宋体" w:cs="宋体"/>
          <w:sz w:val="28"/>
          <w:szCs w:val="28"/>
        </w:rPr>
      </w:pPr>
      <w:r>
        <w:rPr>
          <w:rFonts w:hint="eastAsia" w:ascii="宋体" w:hAnsi="宋体" w:cs="宋体"/>
          <w:sz w:val="28"/>
          <w:szCs w:val="28"/>
        </w:rPr>
        <w:t>2、评分排序采取以下顺序：综合评分相等时，排序以抵顶比例高的优先，无抵顶项时，以技术标得分高的优先，技术标得分也相等的，由招标人自行确定。</w:t>
      </w:r>
    </w:p>
    <w:p w14:paraId="08F122E1">
      <w:pPr>
        <w:spacing w:line="360" w:lineRule="auto"/>
        <w:ind w:firstLine="560" w:firstLineChars="200"/>
        <w:jc w:val="left"/>
        <w:rPr>
          <w:rFonts w:ascii="宋体" w:hAnsi="宋体" w:cs="宋体"/>
          <w:sz w:val="28"/>
          <w:szCs w:val="28"/>
        </w:rPr>
      </w:pPr>
      <w:r>
        <w:rPr>
          <w:rFonts w:hint="eastAsia" w:ascii="宋体" w:hAnsi="宋体" w:cs="宋体"/>
          <w:sz w:val="28"/>
          <w:szCs w:val="28"/>
        </w:rPr>
        <w:t>3、中标候选人主动放弃中标、或因不可抗力不能履行合同、或被查实存在影响中标结果的违法行为等情形，不符合中标条件的，招标人可以按照名单排序依次确定其他投标人为中标人，也可以重新招标。</w:t>
      </w:r>
    </w:p>
    <w:p w14:paraId="25268E33"/>
    <w:tbl>
      <w:tblPr>
        <w:tblStyle w:val="6"/>
        <w:tblW w:w="9666" w:type="dxa"/>
        <w:tblInd w:w="93" w:type="dxa"/>
        <w:tblLayout w:type="fixed"/>
        <w:tblCellMar>
          <w:top w:w="0" w:type="dxa"/>
          <w:left w:w="108" w:type="dxa"/>
          <w:bottom w:w="0" w:type="dxa"/>
          <w:right w:w="108" w:type="dxa"/>
        </w:tblCellMar>
      </w:tblPr>
      <w:tblGrid>
        <w:gridCol w:w="1086"/>
        <w:gridCol w:w="1260"/>
        <w:gridCol w:w="5835"/>
        <w:gridCol w:w="1485"/>
      </w:tblGrid>
      <w:tr w14:paraId="2748DB14">
        <w:tblPrEx>
          <w:tblCellMar>
            <w:top w:w="0" w:type="dxa"/>
            <w:left w:w="108" w:type="dxa"/>
            <w:bottom w:w="0" w:type="dxa"/>
            <w:right w:w="108" w:type="dxa"/>
          </w:tblCellMar>
        </w:tblPrEx>
        <w:trPr>
          <w:trHeight w:val="680" w:hRule="atLeast"/>
        </w:trPr>
        <w:tc>
          <w:tcPr>
            <w:tcW w:w="1086" w:type="dxa"/>
            <w:tcBorders>
              <w:top w:val="single" w:color="000000" w:sz="8" w:space="0"/>
              <w:left w:val="single" w:color="000000" w:sz="8" w:space="0"/>
              <w:bottom w:val="single" w:color="000000" w:sz="4" w:space="0"/>
              <w:right w:val="single" w:color="000000" w:sz="4" w:space="0"/>
            </w:tcBorders>
            <w:noWrap/>
            <w:vAlign w:val="center"/>
          </w:tcPr>
          <w:p w14:paraId="223CE7B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分项</w:t>
            </w:r>
          </w:p>
        </w:tc>
        <w:tc>
          <w:tcPr>
            <w:tcW w:w="1260" w:type="dxa"/>
            <w:tcBorders>
              <w:top w:val="single" w:color="000000" w:sz="8" w:space="0"/>
              <w:left w:val="single" w:color="000000" w:sz="4" w:space="0"/>
              <w:bottom w:val="single" w:color="000000" w:sz="4" w:space="0"/>
              <w:right w:val="single" w:color="000000" w:sz="4" w:space="0"/>
            </w:tcBorders>
            <w:noWrap/>
            <w:vAlign w:val="center"/>
          </w:tcPr>
          <w:p w14:paraId="5CF48AA8">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评分项目</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36AFF55D">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评分标准</w:t>
            </w:r>
          </w:p>
        </w:tc>
        <w:tc>
          <w:tcPr>
            <w:tcW w:w="1485" w:type="dxa"/>
            <w:tcBorders>
              <w:top w:val="single" w:color="000000" w:sz="8" w:space="0"/>
              <w:left w:val="single" w:color="000000" w:sz="4" w:space="0"/>
              <w:bottom w:val="single" w:color="000000" w:sz="4" w:space="0"/>
              <w:right w:val="single" w:color="000000" w:sz="8" w:space="0"/>
            </w:tcBorders>
            <w:noWrap/>
            <w:vAlign w:val="center"/>
          </w:tcPr>
          <w:p w14:paraId="35849729">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评分方式</w:t>
            </w:r>
          </w:p>
        </w:tc>
      </w:tr>
      <w:tr w14:paraId="564E3CE6">
        <w:tblPrEx>
          <w:tblCellMar>
            <w:top w:w="0" w:type="dxa"/>
            <w:left w:w="108" w:type="dxa"/>
            <w:bottom w:w="0" w:type="dxa"/>
            <w:right w:w="108" w:type="dxa"/>
          </w:tblCellMar>
        </w:tblPrEx>
        <w:trPr>
          <w:trHeight w:val="1039" w:hRule="atLeast"/>
        </w:trPr>
        <w:tc>
          <w:tcPr>
            <w:tcW w:w="1086" w:type="dxa"/>
            <w:vMerge w:val="restart"/>
            <w:tcBorders>
              <w:top w:val="single" w:color="000000" w:sz="4" w:space="0"/>
              <w:left w:val="single" w:color="000000" w:sz="8" w:space="0"/>
              <w:bottom w:val="single" w:color="000000" w:sz="4" w:space="0"/>
              <w:right w:val="single" w:color="000000" w:sz="4" w:space="0"/>
            </w:tcBorders>
            <w:noWrap/>
            <w:vAlign w:val="center"/>
          </w:tcPr>
          <w:p w14:paraId="2B2DA079">
            <w:pPr>
              <w:widowControl/>
              <w:jc w:val="center"/>
              <w:textAlignment w:val="center"/>
              <w:rPr>
                <w:rFonts w:ascii="宋体" w:hAnsi="宋体" w:cs="宋体"/>
                <w:b/>
                <w:bCs/>
                <w:color w:val="000000"/>
                <w:sz w:val="24"/>
              </w:rPr>
            </w:pPr>
            <w:r>
              <w:rPr>
                <w:rFonts w:hint="eastAsia" w:ascii="宋体" w:hAnsi="宋体" w:cs="宋体"/>
                <w:b/>
                <w:bCs/>
                <w:kern w:val="0"/>
                <w:sz w:val="24"/>
              </w:rPr>
              <w:t>商务标</w:t>
            </w:r>
            <w:r>
              <w:rPr>
                <w:rStyle w:val="12"/>
                <w:rFonts w:hint="default"/>
                <w:color w:val="auto"/>
              </w:rPr>
              <w:br w:type="textWrapping"/>
            </w:r>
            <w:r>
              <w:rPr>
                <w:rStyle w:val="12"/>
                <w:rFonts w:hint="default"/>
                <w:color w:val="auto"/>
              </w:rPr>
              <w:t>总占比80分</w:t>
            </w:r>
          </w:p>
        </w:tc>
        <w:tc>
          <w:tcPr>
            <w:tcW w:w="1260" w:type="dxa"/>
            <w:vMerge w:val="restart"/>
            <w:tcBorders>
              <w:top w:val="single" w:color="000000" w:sz="4" w:space="0"/>
              <w:left w:val="single" w:color="000000" w:sz="4" w:space="0"/>
              <w:bottom w:val="single" w:color="000000" w:sz="4" w:space="0"/>
              <w:right w:val="single" w:color="000000" w:sz="4" w:space="0"/>
            </w:tcBorders>
            <w:noWrap/>
            <w:vAlign w:val="center"/>
          </w:tcPr>
          <w:p w14:paraId="768BBCC7">
            <w:pPr>
              <w:widowControl/>
              <w:jc w:val="center"/>
              <w:textAlignment w:val="center"/>
              <w:rPr>
                <w:rFonts w:ascii="宋体" w:hAnsi="宋体" w:cs="宋体"/>
                <w:color w:val="000000"/>
                <w:sz w:val="24"/>
              </w:rPr>
            </w:pPr>
            <w:r>
              <w:rPr>
                <w:rFonts w:hint="eastAsia" w:ascii="宋体" w:hAnsi="宋体" w:cs="宋体"/>
                <w:color w:val="000000"/>
                <w:kern w:val="0"/>
                <w:sz w:val="24"/>
              </w:rPr>
              <w:t>投标报价</w:t>
            </w:r>
            <w:r>
              <w:rPr>
                <w:rFonts w:hint="eastAsia" w:ascii="宋体" w:hAnsi="宋体" w:cs="宋体"/>
                <w:color w:val="000000"/>
                <w:kern w:val="0"/>
                <w:sz w:val="24"/>
              </w:rPr>
              <w:br w:type="textWrapping"/>
            </w:r>
            <w:r>
              <w:rPr>
                <w:rFonts w:hint="eastAsia" w:ascii="宋体" w:hAnsi="宋体" w:cs="宋体"/>
                <w:color w:val="000000"/>
                <w:kern w:val="0"/>
                <w:sz w:val="24"/>
              </w:rPr>
              <w:t>（80分）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C3F61E6">
            <w:pPr>
              <w:widowControl/>
              <w:jc w:val="left"/>
              <w:textAlignment w:val="center"/>
              <w:rPr>
                <w:rFonts w:ascii="宋体" w:hAnsi="宋体" w:cs="宋体"/>
                <w:color w:val="000000"/>
                <w:sz w:val="24"/>
              </w:rPr>
            </w:pPr>
            <w:r>
              <w:rPr>
                <w:rFonts w:hint="eastAsia" w:ascii="宋体" w:hAnsi="宋体" w:cs="宋体"/>
                <w:color w:val="000000"/>
                <w:kern w:val="0"/>
                <w:sz w:val="24"/>
              </w:rPr>
              <w:t>投标报价最低者得满分80分，分值接近则保留至小数点后一位。</w:t>
            </w:r>
            <w:r>
              <w:rPr>
                <w:rFonts w:hint="eastAsia" w:ascii="宋体" w:hAnsi="宋体" w:cs="宋体"/>
                <w:color w:val="000000"/>
                <w:kern w:val="0"/>
                <w:sz w:val="24"/>
              </w:rPr>
              <w:br w:type="textWrapping"/>
            </w:r>
            <w:r>
              <w:rPr>
                <w:rFonts w:hint="eastAsia" w:ascii="宋体" w:hAnsi="宋体" w:cs="宋体"/>
                <w:color w:val="000000"/>
                <w:kern w:val="0"/>
                <w:sz w:val="24"/>
              </w:rPr>
              <w:t>1、控制价50万以下工程，报价高于最低价的，每高出 3%扣 1 分</w:t>
            </w:r>
            <w:r>
              <w:rPr>
                <w:rFonts w:hint="eastAsia" w:ascii="宋体" w:hAnsi="宋体" w:cs="宋体"/>
                <w:color w:val="000000"/>
                <w:kern w:val="0"/>
                <w:sz w:val="24"/>
              </w:rPr>
              <w:br w:type="textWrapping"/>
            </w:r>
            <w:r>
              <w:rPr>
                <w:rFonts w:hint="eastAsia" w:ascii="宋体" w:hAnsi="宋体" w:cs="宋体"/>
                <w:color w:val="000000"/>
                <w:kern w:val="0"/>
                <w:sz w:val="24"/>
              </w:rPr>
              <w:t>2、控制价50万以上工程，报价高于最低价的，每高出 1%扣 1 分</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5E82D9DF">
            <w:pPr>
              <w:widowControl/>
              <w:jc w:val="left"/>
              <w:textAlignment w:val="center"/>
              <w:rPr>
                <w:rFonts w:ascii="宋体" w:hAnsi="宋体" w:cs="宋体"/>
                <w:color w:val="000000"/>
                <w:kern w:val="0"/>
                <w:sz w:val="24"/>
              </w:rPr>
            </w:pPr>
            <w:r>
              <w:rPr>
                <w:rFonts w:hint="eastAsia" w:ascii="宋体" w:hAnsi="宋体" w:cs="宋体"/>
                <w:color w:val="000000"/>
                <w:kern w:val="0"/>
                <w:sz w:val="24"/>
              </w:rPr>
              <w:t>报价按评分标准计算，</w:t>
            </w:r>
          </w:p>
          <w:p w14:paraId="547FCAD2">
            <w:pPr>
              <w:widowControl/>
              <w:jc w:val="left"/>
              <w:textAlignment w:val="center"/>
              <w:rPr>
                <w:rFonts w:ascii="宋体" w:hAnsi="宋体" w:cs="宋体"/>
                <w:color w:val="000000"/>
                <w:sz w:val="24"/>
              </w:rPr>
            </w:pPr>
            <w:r>
              <w:rPr>
                <w:rFonts w:hint="eastAsia" w:ascii="宋体" w:hAnsi="宋体" w:cs="宋体"/>
                <w:b/>
                <w:bCs/>
                <w:color w:val="000000"/>
                <w:kern w:val="0"/>
                <w:sz w:val="24"/>
              </w:rPr>
              <w:t>抵顶为增分项，分值单独计算</w:t>
            </w:r>
          </w:p>
        </w:tc>
      </w:tr>
      <w:tr w14:paraId="37DED7CB">
        <w:tblPrEx>
          <w:tblCellMar>
            <w:top w:w="0" w:type="dxa"/>
            <w:left w:w="108" w:type="dxa"/>
            <w:bottom w:w="0" w:type="dxa"/>
            <w:right w:w="108" w:type="dxa"/>
          </w:tblCellMar>
        </w:tblPrEx>
        <w:trPr>
          <w:trHeight w:val="916"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02B90333">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2FA11F70">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5CEC1F8">
            <w:pPr>
              <w:widowControl/>
              <w:jc w:val="left"/>
              <w:textAlignment w:val="center"/>
              <w:rPr>
                <w:rFonts w:ascii="宋体" w:hAnsi="宋体" w:cs="宋体"/>
                <w:color w:val="000000"/>
                <w:sz w:val="24"/>
              </w:rPr>
            </w:pPr>
            <w:r>
              <w:rPr>
                <w:rFonts w:hint="eastAsia" w:ascii="宋体" w:hAnsi="宋体" w:cs="宋体"/>
                <w:color w:val="000000"/>
                <w:kern w:val="0"/>
                <w:sz w:val="24"/>
              </w:rPr>
              <w:t>1、抵顶报价（0-5分），每抵顶10%加0.5分；</w:t>
            </w:r>
            <w:r>
              <w:rPr>
                <w:rFonts w:hint="eastAsia" w:ascii="宋体" w:hAnsi="宋体" w:cs="宋体"/>
                <w:color w:val="000000"/>
                <w:kern w:val="0"/>
                <w:sz w:val="24"/>
              </w:rPr>
              <w:br w:type="textWrapping"/>
            </w:r>
            <w:r>
              <w:rPr>
                <w:rFonts w:hint="eastAsia" w:ascii="宋体" w:hAnsi="宋体" w:cs="宋体"/>
                <w:color w:val="000000"/>
                <w:kern w:val="0"/>
                <w:sz w:val="24"/>
              </w:rPr>
              <w:t>2、抵顶比例必须为10的倍数（例如20、30、40等），且基础比例不低于20%。</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062CB1DF">
            <w:pPr>
              <w:jc w:val="left"/>
              <w:rPr>
                <w:rFonts w:ascii="宋体" w:hAnsi="宋体" w:cs="宋体"/>
                <w:color w:val="000000"/>
                <w:sz w:val="24"/>
              </w:rPr>
            </w:pPr>
          </w:p>
        </w:tc>
      </w:tr>
      <w:tr w14:paraId="7124FB50">
        <w:tblPrEx>
          <w:tblCellMar>
            <w:top w:w="0" w:type="dxa"/>
            <w:left w:w="108" w:type="dxa"/>
            <w:bottom w:w="0" w:type="dxa"/>
            <w:right w:w="108" w:type="dxa"/>
          </w:tblCellMar>
        </w:tblPrEx>
        <w:trPr>
          <w:trHeight w:val="670"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791EFC5A">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00892EC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51F292C2">
            <w:pPr>
              <w:widowControl/>
              <w:numPr>
                <w:ilvl w:val="0"/>
                <w:numId w:val="0"/>
              </w:numPr>
              <w:jc w:val="left"/>
              <w:textAlignment w:val="center"/>
              <w:rPr>
                <w:rFonts w:ascii="宋体" w:hAnsi="宋体" w:cs="宋体"/>
                <w:color w:val="000000"/>
                <w:sz w:val="24"/>
              </w:rPr>
            </w:pPr>
            <w:r>
              <w:rPr>
                <w:rFonts w:hint="eastAsia" w:ascii="宋体" w:hAnsi="宋体" w:cs="宋体"/>
                <w:color w:val="000000"/>
                <w:kern w:val="0"/>
                <w:sz w:val="24"/>
              </w:rPr>
              <w:t>未按甲方要求提供主材品牌表或样品扣2分。</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7AB19332">
            <w:pPr>
              <w:jc w:val="left"/>
              <w:rPr>
                <w:rFonts w:ascii="宋体" w:hAnsi="宋体" w:cs="宋体"/>
                <w:color w:val="000000"/>
                <w:sz w:val="24"/>
              </w:rPr>
            </w:pPr>
          </w:p>
        </w:tc>
      </w:tr>
      <w:tr w14:paraId="5B37ADA2">
        <w:tblPrEx>
          <w:tblCellMar>
            <w:top w:w="0" w:type="dxa"/>
            <w:left w:w="108" w:type="dxa"/>
            <w:bottom w:w="0" w:type="dxa"/>
            <w:right w:w="108" w:type="dxa"/>
          </w:tblCellMar>
        </w:tblPrEx>
        <w:trPr>
          <w:trHeight w:val="680" w:hRule="atLeast"/>
        </w:trPr>
        <w:tc>
          <w:tcPr>
            <w:tcW w:w="1086" w:type="dxa"/>
            <w:vMerge w:val="restart"/>
            <w:tcBorders>
              <w:top w:val="single" w:color="000000" w:sz="8" w:space="0"/>
              <w:left w:val="single" w:color="000000" w:sz="8" w:space="0"/>
              <w:bottom w:val="single" w:color="000000" w:sz="4" w:space="0"/>
              <w:right w:val="single" w:color="000000" w:sz="4" w:space="0"/>
            </w:tcBorders>
            <w:noWrap/>
            <w:vAlign w:val="center"/>
          </w:tcPr>
          <w:p w14:paraId="0BBA8B13">
            <w:pPr>
              <w:widowControl/>
              <w:jc w:val="center"/>
              <w:textAlignment w:val="center"/>
              <w:rPr>
                <w:rFonts w:ascii="宋体" w:hAnsi="宋体" w:cs="宋体"/>
                <w:b/>
                <w:bCs/>
                <w:color w:val="000000"/>
                <w:sz w:val="24"/>
              </w:rPr>
            </w:pPr>
            <w:r>
              <w:rPr>
                <w:rFonts w:hint="eastAsia" w:ascii="宋体" w:hAnsi="宋体" w:cs="宋体"/>
                <w:b/>
                <w:bCs/>
                <w:kern w:val="0"/>
                <w:sz w:val="24"/>
              </w:rPr>
              <w:t>技术标</w:t>
            </w:r>
            <w:r>
              <w:rPr>
                <w:rFonts w:hint="eastAsia" w:ascii="宋体" w:hAnsi="宋体" w:cs="宋体"/>
                <w:b/>
                <w:bCs/>
                <w:kern w:val="0"/>
                <w:sz w:val="24"/>
              </w:rPr>
              <w:br w:type="textWrapping"/>
            </w:r>
            <w:r>
              <w:rPr>
                <w:rStyle w:val="12"/>
                <w:rFonts w:hint="default"/>
                <w:color w:val="auto"/>
              </w:rPr>
              <w:t>总占比20分</w:t>
            </w:r>
          </w:p>
        </w:tc>
        <w:tc>
          <w:tcPr>
            <w:tcW w:w="1260" w:type="dxa"/>
            <w:vMerge w:val="restart"/>
            <w:tcBorders>
              <w:top w:val="single" w:color="000000" w:sz="8" w:space="0"/>
              <w:left w:val="single" w:color="000000" w:sz="4" w:space="0"/>
              <w:bottom w:val="single" w:color="000000" w:sz="4" w:space="0"/>
              <w:right w:val="single" w:color="000000" w:sz="4" w:space="0"/>
            </w:tcBorders>
            <w:noWrap/>
            <w:vAlign w:val="center"/>
          </w:tcPr>
          <w:p w14:paraId="59D8E3D8">
            <w:pPr>
              <w:widowControl/>
              <w:jc w:val="center"/>
              <w:textAlignment w:val="center"/>
              <w:rPr>
                <w:rFonts w:ascii="宋体" w:hAnsi="宋体" w:cs="宋体"/>
                <w:color w:val="000000"/>
                <w:sz w:val="24"/>
              </w:rPr>
            </w:pPr>
            <w:r>
              <w:rPr>
                <w:rFonts w:hint="eastAsia" w:ascii="宋体" w:hAnsi="宋体" w:cs="宋体"/>
                <w:color w:val="000000"/>
                <w:kern w:val="0"/>
                <w:sz w:val="24"/>
              </w:rPr>
              <w:t>考察及技术评分（15分）</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410A4A13">
            <w:pPr>
              <w:widowControl/>
              <w:jc w:val="left"/>
              <w:textAlignment w:val="center"/>
              <w:rPr>
                <w:rFonts w:ascii="宋体" w:hAnsi="宋体" w:cs="宋体"/>
                <w:color w:val="000000"/>
                <w:sz w:val="24"/>
              </w:rPr>
            </w:pPr>
            <w:r>
              <w:rPr>
                <w:rFonts w:hint="eastAsia" w:ascii="宋体" w:hAnsi="宋体" w:cs="宋体"/>
                <w:color w:val="000000"/>
                <w:kern w:val="0"/>
                <w:sz w:val="24"/>
              </w:rPr>
              <w:t>1、有施工进度计划和进度措施；</w:t>
            </w:r>
          </w:p>
        </w:tc>
        <w:tc>
          <w:tcPr>
            <w:tcW w:w="1485" w:type="dxa"/>
            <w:vMerge w:val="restart"/>
            <w:tcBorders>
              <w:top w:val="single" w:color="000000" w:sz="8" w:space="0"/>
              <w:left w:val="single" w:color="000000" w:sz="4" w:space="0"/>
              <w:bottom w:val="single" w:color="000000" w:sz="4" w:space="0"/>
              <w:right w:val="single" w:color="000000" w:sz="8" w:space="0"/>
            </w:tcBorders>
            <w:noWrap/>
            <w:vAlign w:val="center"/>
          </w:tcPr>
          <w:p w14:paraId="617035A0">
            <w:pPr>
              <w:widowControl/>
              <w:jc w:val="left"/>
              <w:textAlignment w:val="center"/>
              <w:rPr>
                <w:rFonts w:ascii="宋体" w:hAnsi="宋体" w:cs="宋体"/>
                <w:color w:val="000000"/>
                <w:sz w:val="24"/>
              </w:rPr>
            </w:pPr>
            <w:r>
              <w:rPr>
                <w:rFonts w:hint="eastAsia" w:ascii="宋体" w:hAnsi="宋体" w:cs="宋体"/>
                <w:kern w:val="0"/>
                <w:sz w:val="24"/>
              </w:rPr>
              <w:t>评分项供参考，招标小组根据项目实际要求综合评分</w:t>
            </w:r>
          </w:p>
        </w:tc>
      </w:tr>
      <w:tr w14:paraId="4148D6B0">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A887EBD">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72C6A9F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EC2CD19">
            <w:pPr>
              <w:widowControl/>
              <w:jc w:val="left"/>
              <w:textAlignment w:val="center"/>
              <w:rPr>
                <w:rFonts w:ascii="宋体" w:hAnsi="宋体" w:cs="宋体"/>
                <w:color w:val="000000"/>
                <w:sz w:val="24"/>
              </w:rPr>
            </w:pPr>
            <w:r>
              <w:rPr>
                <w:rFonts w:hint="eastAsia" w:ascii="宋体" w:hAnsi="宋体" w:cs="宋体"/>
                <w:color w:val="000000"/>
                <w:kern w:val="0"/>
                <w:sz w:val="24"/>
              </w:rPr>
              <w:t>2、施工方案和技术措施合理，有完整的质量保证措施、成品保护、工程保修制度；</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378D377D">
            <w:pPr>
              <w:jc w:val="left"/>
              <w:rPr>
                <w:rFonts w:ascii="宋体" w:hAnsi="宋体" w:cs="宋体"/>
                <w:color w:val="000000"/>
                <w:sz w:val="24"/>
              </w:rPr>
            </w:pPr>
          </w:p>
        </w:tc>
      </w:tr>
      <w:tr w14:paraId="2A888C1C">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04D89441">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E59D911">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4675AA8">
            <w:pPr>
              <w:widowControl/>
              <w:jc w:val="left"/>
              <w:textAlignment w:val="center"/>
              <w:rPr>
                <w:rFonts w:ascii="宋体" w:hAnsi="宋体" w:cs="宋体"/>
                <w:color w:val="000000"/>
                <w:sz w:val="24"/>
              </w:rPr>
            </w:pPr>
            <w:r>
              <w:rPr>
                <w:rFonts w:hint="eastAsia" w:ascii="宋体" w:hAnsi="宋体" w:cs="宋体"/>
                <w:color w:val="000000"/>
                <w:kern w:val="0"/>
                <w:sz w:val="24"/>
              </w:rPr>
              <w:t>3、人员配备齐全，投入的劳动力、机械设备等计划合理，减少噪音、降低环境污染；</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0402CE5E">
            <w:pPr>
              <w:jc w:val="left"/>
              <w:rPr>
                <w:rFonts w:ascii="宋体" w:hAnsi="宋体" w:cs="宋体"/>
                <w:color w:val="000000"/>
                <w:sz w:val="24"/>
              </w:rPr>
            </w:pPr>
          </w:p>
        </w:tc>
      </w:tr>
      <w:tr w14:paraId="606CB0D2">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284D4E2F">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04ABDB1F">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360D149">
            <w:pPr>
              <w:widowControl/>
              <w:jc w:val="left"/>
              <w:textAlignment w:val="center"/>
              <w:rPr>
                <w:rFonts w:ascii="宋体" w:hAnsi="宋体" w:cs="宋体"/>
                <w:color w:val="000000"/>
                <w:sz w:val="24"/>
              </w:rPr>
            </w:pPr>
            <w:r>
              <w:rPr>
                <w:rFonts w:hint="eastAsia" w:ascii="宋体" w:hAnsi="宋体" w:cs="宋体"/>
                <w:color w:val="000000"/>
                <w:kern w:val="0"/>
                <w:sz w:val="24"/>
              </w:rPr>
              <w:t>4、质保期长，质保范围满足甲方要求；</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405B7B32">
            <w:pPr>
              <w:jc w:val="left"/>
              <w:rPr>
                <w:rFonts w:ascii="宋体" w:hAnsi="宋体" w:cs="宋体"/>
                <w:color w:val="000000"/>
                <w:sz w:val="24"/>
              </w:rPr>
            </w:pPr>
          </w:p>
        </w:tc>
      </w:tr>
      <w:tr w14:paraId="3A59FEC5">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7228179B">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8F2FBC6">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44346538">
            <w:pPr>
              <w:widowControl/>
              <w:jc w:val="left"/>
              <w:textAlignment w:val="center"/>
              <w:rPr>
                <w:rFonts w:ascii="宋体" w:hAnsi="宋体" w:cs="宋体"/>
                <w:color w:val="000000"/>
                <w:sz w:val="24"/>
              </w:rPr>
            </w:pPr>
            <w:r>
              <w:rPr>
                <w:rFonts w:hint="eastAsia" w:ascii="宋体" w:hAnsi="宋体" w:cs="宋体"/>
                <w:color w:val="000000"/>
                <w:kern w:val="0"/>
                <w:sz w:val="24"/>
              </w:rPr>
              <w:t>5、</w:t>
            </w:r>
            <w:r>
              <w:rPr>
                <w:rFonts w:hint="eastAsia" w:ascii="宋体" w:hAnsi="宋体" w:cs="宋体"/>
                <w:kern w:val="0"/>
                <w:sz w:val="24"/>
              </w:rPr>
              <w:t>经考察业绩或样品符合甲方要求、或提供优质方案。</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6E8B70E7">
            <w:pPr>
              <w:jc w:val="left"/>
              <w:rPr>
                <w:rFonts w:ascii="宋体" w:hAnsi="宋体" w:cs="宋体"/>
                <w:color w:val="000000"/>
                <w:sz w:val="24"/>
              </w:rPr>
            </w:pPr>
          </w:p>
        </w:tc>
      </w:tr>
      <w:tr w14:paraId="081134C7">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0D0B505">
            <w:pPr>
              <w:jc w:val="center"/>
              <w:rPr>
                <w:rFonts w:ascii="宋体" w:hAnsi="宋体" w:cs="宋体"/>
                <w:b/>
                <w:bCs/>
                <w:color w:val="000000"/>
                <w:sz w:val="24"/>
              </w:rPr>
            </w:pPr>
          </w:p>
        </w:tc>
        <w:tc>
          <w:tcPr>
            <w:tcW w:w="1260" w:type="dxa"/>
            <w:vMerge w:val="restart"/>
            <w:tcBorders>
              <w:top w:val="single" w:color="000000" w:sz="4" w:space="0"/>
              <w:left w:val="single" w:color="000000" w:sz="4" w:space="0"/>
              <w:bottom w:val="single" w:color="000000" w:sz="8" w:space="0"/>
              <w:right w:val="single" w:color="000000" w:sz="4" w:space="0"/>
            </w:tcBorders>
            <w:noWrap/>
            <w:vAlign w:val="center"/>
          </w:tcPr>
          <w:p w14:paraId="51D579EF">
            <w:pPr>
              <w:widowControl/>
              <w:jc w:val="center"/>
              <w:textAlignment w:val="center"/>
              <w:rPr>
                <w:rFonts w:ascii="宋体" w:hAnsi="宋体" w:cs="宋体"/>
                <w:color w:val="000000"/>
                <w:sz w:val="24"/>
              </w:rPr>
            </w:pPr>
            <w:r>
              <w:rPr>
                <w:rFonts w:hint="eastAsia" w:ascii="宋体" w:hAnsi="宋体" w:cs="宋体"/>
                <w:i w:val="0"/>
                <w:iCs w:val="0"/>
                <w:color w:val="auto"/>
                <w:kern w:val="0"/>
                <w:sz w:val="24"/>
                <w:szCs w:val="24"/>
                <w:u w:val="none"/>
                <w:lang w:val="en-US" w:eastAsia="zh-CN" w:bidi="ar"/>
              </w:rPr>
              <w:t>综合实力</w:t>
            </w:r>
            <w:r>
              <w:rPr>
                <w:rFonts w:hint="eastAsia" w:ascii="宋体" w:hAnsi="宋体" w:cs="宋体"/>
                <w:color w:val="auto"/>
                <w:kern w:val="0"/>
                <w:sz w:val="24"/>
                <w:lang w:bidi="ar"/>
              </w:rPr>
              <w:br w:type="textWrapping"/>
            </w:r>
            <w:r>
              <w:rPr>
                <w:rFonts w:hint="eastAsia" w:ascii="宋体" w:hAnsi="宋体" w:cs="宋体"/>
                <w:color w:val="auto"/>
                <w:kern w:val="0"/>
                <w:sz w:val="24"/>
                <w:lang w:bidi="ar"/>
              </w:rPr>
              <w:t>（-5至5分）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09F62B4">
            <w:pPr>
              <w:widowControl/>
              <w:jc w:val="left"/>
              <w:textAlignment w:val="center"/>
              <w:rPr>
                <w:rFonts w:ascii="宋体" w:hAnsi="宋体" w:cs="宋体"/>
                <w:color w:val="000000"/>
                <w:sz w:val="24"/>
              </w:rPr>
            </w:pPr>
            <w:r>
              <w:rPr>
                <w:rFonts w:hint="eastAsia" w:ascii="宋体" w:hAnsi="宋体" w:eastAsia="宋体" w:cs="宋体"/>
                <w:i w:val="0"/>
                <w:iCs w:val="0"/>
                <w:color w:val="auto"/>
                <w:kern w:val="0"/>
                <w:sz w:val="24"/>
                <w:szCs w:val="24"/>
                <w:u w:val="none"/>
                <w:lang w:val="en-US" w:eastAsia="zh-CN" w:bidi="ar"/>
              </w:rPr>
              <w:t>1、迪尚</w:t>
            </w:r>
            <w:r>
              <w:rPr>
                <w:rFonts w:hint="eastAsia" w:ascii="宋体" w:hAnsi="宋体" w:cs="宋体"/>
                <w:i w:val="0"/>
                <w:iCs w:val="0"/>
                <w:color w:val="auto"/>
                <w:kern w:val="0"/>
                <w:sz w:val="24"/>
                <w:szCs w:val="24"/>
                <w:u w:val="none"/>
                <w:lang w:val="en-US" w:eastAsia="zh-CN" w:bidi="ar"/>
              </w:rPr>
              <w:t>合作</w:t>
            </w:r>
            <w:r>
              <w:rPr>
                <w:rFonts w:hint="eastAsia" w:ascii="宋体" w:hAnsi="宋体" w:eastAsia="宋体" w:cs="宋体"/>
                <w:i w:val="0"/>
                <w:iCs w:val="0"/>
                <w:color w:val="auto"/>
                <w:kern w:val="0"/>
                <w:sz w:val="24"/>
                <w:szCs w:val="24"/>
                <w:u w:val="none"/>
                <w:lang w:val="en-US" w:eastAsia="zh-CN" w:bidi="ar"/>
              </w:rPr>
              <w:t>工程</w:t>
            </w:r>
            <w:r>
              <w:rPr>
                <w:rFonts w:hint="eastAsia" w:ascii="宋体" w:hAnsi="宋体" w:cs="宋体"/>
                <w:i w:val="0"/>
                <w:iCs w:val="0"/>
                <w:color w:val="auto"/>
                <w:kern w:val="0"/>
                <w:sz w:val="24"/>
                <w:szCs w:val="24"/>
                <w:u w:val="none"/>
                <w:lang w:val="en-US" w:eastAsia="zh-CN" w:bidi="ar"/>
              </w:rPr>
              <w:t>的施工质量，配合度，工期及售后等</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71700C23">
            <w:pPr>
              <w:widowControl/>
              <w:jc w:val="left"/>
              <w:textAlignment w:val="center"/>
              <w:rPr>
                <w:rFonts w:ascii="宋体" w:hAnsi="宋体" w:cs="宋体"/>
                <w:color w:val="000000"/>
                <w:sz w:val="24"/>
              </w:rPr>
            </w:pPr>
            <w:r>
              <w:rPr>
                <w:rFonts w:hint="eastAsia" w:ascii="宋体" w:hAnsi="宋体" w:cs="宋体"/>
                <w:color w:val="000000"/>
                <w:kern w:val="0"/>
                <w:sz w:val="24"/>
                <w:lang w:bidi="ar"/>
              </w:rPr>
              <w:t>招标小组综合评分，不合格可打负分</w:t>
            </w:r>
          </w:p>
        </w:tc>
      </w:tr>
      <w:tr w14:paraId="5B4B0764">
        <w:tblPrEx>
          <w:tblCellMar>
            <w:top w:w="0" w:type="dxa"/>
            <w:left w:w="108" w:type="dxa"/>
            <w:bottom w:w="0" w:type="dxa"/>
            <w:right w:w="108" w:type="dxa"/>
          </w:tblCellMar>
        </w:tblPrEx>
        <w:trPr>
          <w:trHeight w:val="70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E257E88">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8" w:space="0"/>
              <w:right w:val="single" w:color="000000" w:sz="4" w:space="0"/>
            </w:tcBorders>
            <w:noWrap/>
            <w:vAlign w:val="center"/>
          </w:tcPr>
          <w:p w14:paraId="28BE2D90">
            <w:pPr>
              <w:jc w:val="center"/>
              <w:rPr>
                <w:rFonts w:ascii="宋体" w:hAnsi="宋体" w:cs="宋体"/>
                <w:color w:val="000000"/>
                <w:sz w:val="24"/>
              </w:rPr>
            </w:pPr>
          </w:p>
        </w:tc>
        <w:tc>
          <w:tcPr>
            <w:tcW w:w="5835" w:type="dxa"/>
            <w:tcBorders>
              <w:top w:val="single" w:color="000000" w:sz="4" w:space="0"/>
              <w:left w:val="single" w:color="000000" w:sz="4" w:space="0"/>
              <w:bottom w:val="single" w:color="000000" w:sz="8" w:space="0"/>
              <w:right w:val="single" w:color="000000" w:sz="4" w:space="0"/>
            </w:tcBorders>
            <w:noWrap/>
            <w:vAlign w:val="center"/>
          </w:tcPr>
          <w:p w14:paraId="04BC890F">
            <w:pPr>
              <w:widowControl/>
              <w:jc w:val="left"/>
              <w:textAlignment w:val="center"/>
              <w:rPr>
                <w:rFonts w:ascii="宋体" w:hAnsi="宋体" w:cs="宋体"/>
                <w:color w:val="000000"/>
                <w:sz w:val="24"/>
              </w:rPr>
            </w:pPr>
            <w:r>
              <w:rPr>
                <w:rFonts w:hint="eastAsia" w:ascii="宋体" w:hAnsi="宋体" w:cs="宋体"/>
                <w:i w:val="0"/>
                <w:iCs w:val="0"/>
                <w:color w:val="auto"/>
                <w:kern w:val="0"/>
                <w:sz w:val="24"/>
                <w:szCs w:val="24"/>
                <w:u w:val="none"/>
                <w:lang w:val="en-US" w:eastAsia="zh-CN" w:bidi="ar"/>
              </w:rPr>
              <w:t>2</w:t>
            </w:r>
            <w:r>
              <w:rPr>
                <w:rFonts w:hint="eastAsia" w:ascii="宋体" w:hAnsi="宋体" w:eastAsia="宋体" w:cs="宋体"/>
                <w:i w:val="0"/>
                <w:iCs w:val="0"/>
                <w:color w:val="auto"/>
                <w:kern w:val="0"/>
                <w:sz w:val="24"/>
                <w:szCs w:val="24"/>
                <w:u w:val="none"/>
                <w:lang w:val="en-US" w:eastAsia="zh-CN" w:bidi="ar"/>
              </w:rPr>
              <w:t>、</w:t>
            </w:r>
            <w:r>
              <w:rPr>
                <w:rFonts w:hint="eastAsia" w:ascii="宋体" w:hAnsi="宋体" w:cs="宋体"/>
                <w:i w:val="0"/>
                <w:iCs w:val="0"/>
                <w:color w:val="auto"/>
                <w:kern w:val="0"/>
                <w:sz w:val="24"/>
                <w:szCs w:val="24"/>
                <w:u w:val="none"/>
                <w:lang w:val="en-US" w:eastAsia="zh-CN" w:bidi="ar"/>
              </w:rPr>
              <w:t>公司实力、施工资质、风险把控等</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4452BD72">
            <w:pPr>
              <w:jc w:val="left"/>
              <w:rPr>
                <w:rFonts w:ascii="宋体" w:hAnsi="宋体" w:cs="宋体"/>
                <w:b/>
                <w:bCs/>
                <w:color w:val="000000"/>
                <w:sz w:val="24"/>
              </w:rPr>
            </w:pPr>
          </w:p>
        </w:tc>
      </w:tr>
    </w:tbl>
    <w:p w14:paraId="73FF1129">
      <w:pPr>
        <w:pStyle w:val="2"/>
        <w:spacing w:before="0" w:after="0" w:line="240" w:lineRule="auto"/>
        <w:ind w:firstLine="562" w:firstLineChars="200"/>
        <w:rPr>
          <w:rFonts w:ascii="宋体" w:hAnsi="宋体"/>
          <w:sz w:val="28"/>
          <w:szCs w:val="28"/>
        </w:rPr>
      </w:pPr>
      <w:bookmarkStart w:id="11" w:name="_Toc26306"/>
      <w:bookmarkStart w:id="12" w:name="_Toc20750"/>
      <w:r>
        <w:rPr>
          <w:rFonts w:hint="eastAsia" w:ascii="宋体" w:hAnsi="宋体"/>
          <w:sz w:val="28"/>
          <w:szCs w:val="28"/>
        </w:rPr>
        <w:t>十、付款方式</w:t>
      </w:r>
    </w:p>
    <w:p w14:paraId="5871E13D">
      <w:pPr>
        <w:ind w:firstLine="658" w:firstLineChars="235"/>
        <w:rPr>
          <w:rFonts w:hint="eastAsia" w:ascii="宋体" w:hAnsi="宋体"/>
          <w:sz w:val="28"/>
          <w:szCs w:val="28"/>
        </w:rPr>
      </w:pPr>
      <w:r>
        <w:rPr>
          <w:rFonts w:hint="eastAsia" w:ascii="宋体" w:hAnsi="宋体"/>
          <w:sz w:val="28"/>
          <w:szCs w:val="28"/>
        </w:rPr>
        <w:t>为进一步明确招标人工程项目付款流程，保障合作双方权益，现将付款方式说明如下：</w:t>
      </w:r>
    </w:p>
    <w:p w14:paraId="62322CEA">
      <w:pPr>
        <w:ind w:firstLine="658" w:firstLineChars="235"/>
        <w:rPr>
          <w:rFonts w:hint="eastAsia" w:ascii="宋体" w:hAnsi="宋体"/>
          <w:sz w:val="28"/>
          <w:szCs w:val="28"/>
        </w:rPr>
      </w:pPr>
      <w:r>
        <w:rPr>
          <w:rFonts w:hint="eastAsia" w:ascii="宋体" w:hAnsi="宋体"/>
          <w:sz w:val="28"/>
          <w:szCs w:val="28"/>
        </w:rPr>
        <w:t>（一）、预付款：预付款比例为合同金额的30%-40%。</w:t>
      </w:r>
    </w:p>
    <w:p w14:paraId="0E17B009">
      <w:pPr>
        <w:ind w:firstLine="658" w:firstLineChars="235"/>
        <w:rPr>
          <w:rFonts w:hint="eastAsia" w:ascii="宋体" w:hAnsi="宋体"/>
          <w:sz w:val="28"/>
          <w:szCs w:val="28"/>
        </w:rPr>
      </w:pPr>
      <w:r>
        <w:rPr>
          <w:rFonts w:hint="eastAsia" w:ascii="宋体" w:hAnsi="宋体"/>
          <w:sz w:val="28"/>
          <w:szCs w:val="28"/>
        </w:rPr>
        <w:t>（二）、进度款：中标单位可按节点申请付款，招标人将组织过程验收，验收合格后按约支付。</w:t>
      </w:r>
    </w:p>
    <w:p w14:paraId="0A22888D">
      <w:pPr>
        <w:ind w:firstLine="658" w:firstLineChars="235"/>
        <w:rPr>
          <w:rFonts w:hint="eastAsia" w:ascii="宋体" w:hAnsi="宋体"/>
          <w:sz w:val="28"/>
          <w:szCs w:val="28"/>
        </w:rPr>
      </w:pPr>
      <w:r>
        <w:rPr>
          <w:rFonts w:hint="eastAsia" w:ascii="宋体" w:hAnsi="宋体"/>
          <w:sz w:val="28"/>
          <w:szCs w:val="28"/>
        </w:rPr>
        <w:t>（三）、完工款：完工款支付比例不超过合同总额的60%-80%。验收合格后支付。</w:t>
      </w:r>
    </w:p>
    <w:p w14:paraId="04B22054">
      <w:pPr>
        <w:ind w:firstLine="658" w:firstLineChars="235"/>
        <w:rPr>
          <w:rFonts w:hint="eastAsia" w:ascii="宋体" w:hAnsi="宋体" w:eastAsia="宋体" w:cs="Times New Roman"/>
          <w:sz w:val="28"/>
          <w:szCs w:val="28"/>
        </w:rPr>
      </w:pPr>
      <w:r>
        <w:rPr>
          <w:rFonts w:hint="eastAsia" w:ascii="宋体" w:hAnsi="宋体"/>
          <w:sz w:val="28"/>
          <w:szCs w:val="28"/>
        </w:rPr>
        <w:t>（四）、结算款：</w:t>
      </w:r>
      <w:r>
        <w:rPr>
          <w:rFonts w:hint="eastAsia" w:ascii="宋体" w:hAnsi="宋体" w:eastAsia="宋体" w:cs="Times New Roman"/>
          <w:sz w:val="28"/>
          <w:szCs w:val="28"/>
        </w:rPr>
        <w:t>竣工验收后进入结算审核，并设3-6个月使用考察期，考察期满无质量问题后，付至95%~97%。（或可通过第三方担保方式支付结算款，我司将款项汇至第三方账户，考察期满无质量问题后由第三方直接支付。）</w:t>
      </w:r>
    </w:p>
    <w:p w14:paraId="735A9D6A">
      <w:pPr>
        <w:ind w:firstLine="658" w:firstLineChars="235"/>
        <w:rPr>
          <w:rFonts w:hint="eastAsia" w:ascii="宋体" w:hAnsi="宋体"/>
          <w:sz w:val="28"/>
          <w:szCs w:val="28"/>
        </w:rPr>
      </w:pPr>
      <w:r>
        <w:rPr>
          <w:rFonts w:hint="eastAsia" w:ascii="宋体" w:hAnsi="宋体"/>
          <w:sz w:val="28"/>
          <w:szCs w:val="28"/>
        </w:rPr>
        <w:t>（五）、质保金：质保金为结算金额的3%-5%。质保期满后，将根据质保期内维修响应及质量情况进行综合评估后处理。</w:t>
      </w:r>
    </w:p>
    <w:p w14:paraId="7B764890">
      <w:pPr>
        <w:ind w:firstLine="661" w:firstLineChars="235"/>
        <w:rPr>
          <w:rFonts w:hint="eastAsia" w:ascii="宋体" w:hAnsi="宋体"/>
          <w:sz w:val="28"/>
          <w:szCs w:val="28"/>
        </w:rPr>
      </w:pPr>
      <w:r>
        <w:rPr>
          <w:rFonts w:hint="eastAsia" w:ascii="宋体" w:hAnsi="宋体"/>
          <w:b/>
          <w:bCs/>
          <w:sz w:val="28"/>
          <w:szCs w:val="28"/>
          <w:lang w:eastAsia="zh-CN"/>
        </w:rPr>
        <w:t>（六）、</w:t>
      </w:r>
      <w:r>
        <w:rPr>
          <w:rFonts w:hint="eastAsia" w:ascii="宋体" w:hAnsi="宋体"/>
          <w:b/>
          <w:bCs/>
          <w:sz w:val="28"/>
          <w:szCs w:val="28"/>
        </w:rPr>
        <w:t>投标人</w:t>
      </w:r>
      <w:r>
        <w:rPr>
          <w:rFonts w:hint="eastAsia" w:ascii="宋体" w:hAnsi="宋体"/>
          <w:b/>
          <w:bCs/>
          <w:sz w:val="28"/>
          <w:szCs w:val="28"/>
          <w:lang w:eastAsia="zh-CN"/>
        </w:rPr>
        <w:t>需</w:t>
      </w:r>
      <w:r>
        <w:rPr>
          <w:rFonts w:hint="eastAsia" w:ascii="宋体" w:hAnsi="宋体"/>
          <w:b/>
          <w:bCs/>
          <w:sz w:val="28"/>
          <w:szCs w:val="28"/>
        </w:rPr>
        <w:t>根据上述付款</w:t>
      </w:r>
      <w:r>
        <w:rPr>
          <w:rFonts w:hint="eastAsia" w:ascii="宋体" w:hAnsi="宋体"/>
          <w:b/>
          <w:bCs/>
          <w:sz w:val="28"/>
          <w:szCs w:val="28"/>
          <w:lang w:eastAsia="zh-CN"/>
        </w:rPr>
        <w:t>范围，写明具体的付款节点和比例</w:t>
      </w:r>
      <w:r>
        <w:rPr>
          <w:rFonts w:hint="eastAsia" w:ascii="宋体" w:hAnsi="宋体"/>
          <w:b/>
          <w:bCs/>
          <w:sz w:val="28"/>
          <w:szCs w:val="28"/>
        </w:rPr>
        <w:t>。</w:t>
      </w:r>
    </w:p>
    <w:p w14:paraId="621308AC">
      <w:pPr>
        <w:ind w:firstLine="658" w:firstLineChars="235"/>
        <w:rPr>
          <w:rFonts w:hint="eastAsia" w:ascii="宋体" w:hAnsi="宋体"/>
          <w:sz w:val="28"/>
          <w:szCs w:val="28"/>
        </w:rPr>
      </w:pPr>
      <w:r>
        <w:rPr>
          <w:rFonts w:hint="eastAsia" w:ascii="宋体" w:hAnsi="宋体"/>
          <w:sz w:val="28"/>
          <w:szCs w:val="28"/>
        </w:rPr>
        <w:t>上述方式为建议方式，响应该方式，可以表明投标方对自己的施工质量及管理充满信心;响应该方式，也将在打分中获得相应分数，计入最终综合评价。如投标方对上述方式尾款部分心存疑虑，我方同意与投标方采取第三方担保形式执行。投标人根据上述情况提报付款方式。</w:t>
      </w:r>
    </w:p>
    <w:p w14:paraId="63FE209B">
      <w:pPr>
        <w:spacing w:line="480" w:lineRule="exact"/>
        <w:ind w:firstLine="562" w:firstLineChars="200"/>
        <w:jc w:val="left"/>
        <w:outlineLvl w:val="0"/>
        <w:rPr>
          <w:rFonts w:ascii="宋体" w:hAnsi="宋体" w:cs="宋体"/>
          <w:b/>
          <w:bCs/>
          <w:sz w:val="28"/>
          <w:szCs w:val="28"/>
        </w:rPr>
      </w:pPr>
      <w:r>
        <w:rPr>
          <w:rFonts w:hint="eastAsia" w:ascii="宋体" w:hAnsi="宋体" w:cs="宋体"/>
          <w:b/>
          <w:bCs/>
          <w:sz w:val="28"/>
          <w:szCs w:val="28"/>
        </w:rPr>
        <w:t>十一、工程评价</w:t>
      </w:r>
      <w:bookmarkEnd w:id="11"/>
      <w:bookmarkEnd w:id="12"/>
    </w:p>
    <w:p w14:paraId="2E5E2C6A">
      <w:pPr>
        <w:pStyle w:val="13"/>
        <w:spacing w:line="360" w:lineRule="auto"/>
        <w:ind w:firstLine="562"/>
        <w:outlineLvl w:val="1"/>
        <w:rPr>
          <w:rFonts w:ascii="宋体" w:hAnsi="宋体" w:cs="宋体"/>
          <w:b/>
          <w:bCs/>
          <w:sz w:val="28"/>
          <w:szCs w:val="28"/>
        </w:rPr>
      </w:pPr>
      <w:bookmarkStart w:id="13" w:name="_Toc17742"/>
      <w:r>
        <w:rPr>
          <w:rFonts w:hint="eastAsia" w:ascii="宋体" w:hAnsi="宋体" w:cs="宋体"/>
          <w:b/>
          <w:bCs/>
          <w:sz w:val="28"/>
          <w:szCs w:val="28"/>
        </w:rPr>
        <w:t>1、使用方体验评价与付款结合方式</w:t>
      </w:r>
      <w:bookmarkEnd w:id="13"/>
    </w:p>
    <w:p w14:paraId="0845E1E3">
      <w:pPr>
        <w:jc w:val="center"/>
        <w:rPr>
          <w:rFonts w:ascii="仿宋" w:hAnsi="仿宋" w:eastAsia="仿宋"/>
          <w:sz w:val="28"/>
          <w:szCs w:val="28"/>
        </w:rPr>
      </w:pPr>
      <w:r>
        <w:rPr>
          <w:rFonts w:ascii="仿宋" w:hAnsi="仿宋" w:eastAsia="仿宋"/>
          <w:b/>
          <w:bCs/>
          <w:sz w:val="28"/>
          <w:szCs w:val="28"/>
        </w:rPr>
        <w:t>工程质量评价表</w:t>
      </w:r>
    </w:p>
    <w:p w14:paraId="6819017F">
      <w:pPr>
        <w:rPr>
          <w:rFonts w:ascii="仿宋" w:hAnsi="仿宋" w:eastAsia="仿宋" w:cs="仿宋"/>
          <w:b/>
          <w:bCs/>
          <w:szCs w:val="21"/>
        </w:rPr>
      </w:pPr>
      <w:r>
        <w:rPr>
          <w:rFonts w:hint="eastAsia" w:ascii="仿宋" w:hAnsi="仿宋" w:eastAsia="仿宋" w:cs="仿宋"/>
          <w:b/>
          <w:bCs/>
          <w:szCs w:val="21"/>
        </w:rPr>
        <w:t>一、工程评价</w:t>
      </w:r>
    </w:p>
    <w:p w14:paraId="4CBBFA07">
      <w:pPr>
        <w:rPr>
          <w:rFonts w:ascii="仿宋" w:hAnsi="仿宋" w:eastAsia="仿宋" w:cs="仿宋"/>
          <w:szCs w:val="21"/>
        </w:rPr>
      </w:pPr>
      <w:r>
        <w:rPr>
          <w:rFonts w:hint="eastAsia" w:ascii="仿宋" w:hAnsi="仿宋" w:eastAsia="仿宋" w:cs="仿宋"/>
          <w:szCs w:val="21"/>
        </w:rPr>
        <w:t>工程名称：_______________使用单位/部门（代理人及联系方式）：___________________</w:t>
      </w:r>
    </w:p>
    <w:p w14:paraId="69FF9CB6">
      <w:pPr>
        <w:rPr>
          <w:rFonts w:ascii="仿宋" w:hAnsi="仿宋" w:eastAsia="仿宋"/>
          <w:szCs w:val="21"/>
        </w:rPr>
      </w:pPr>
      <w:r>
        <w:rPr>
          <w:rFonts w:ascii="仿宋" w:hAnsi="仿宋" w:eastAsia="仿宋"/>
          <w:szCs w:val="21"/>
        </w:rPr>
        <w:pict>
          <v:rect id="_x0000_i1025" o:spt="1" style="height:1.5pt;width:432pt;" fillcolor="#0F1115" filled="t" stroked="f" coordsize="21600,21600" o:hr="t" o:hrstd="t" o:hrnoshade="t" o:hralign="center">
            <v:path/>
            <v:fill on="t" focussize="0,0"/>
            <v:stroke on="f"/>
            <v:imagedata o:title=""/>
            <o:lock v:ext="edit"/>
            <w10:wrap type="none"/>
            <w10:anchorlock/>
          </v:rect>
        </w:pict>
      </w:r>
    </w:p>
    <w:p w14:paraId="6DE36645">
      <w:pPr>
        <w:rPr>
          <w:rFonts w:hint="eastAsia" w:ascii="仿宋" w:hAnsi="仿宋" w:eastAsia="仿宋"/>
          <w:szCs w:val="21"/>
        </w:rPr>
      </w:pPr>
      <w:r>
        <w:rPr>
          <w:rFonts w:ascii="仿宋" w:hAnsi="仿宋" w:eastAsia="仿宋"/>
          <w:szCs w:val="21"/>
        </w:rPr>
        <w:t>请在最符合的选项下打“√”</w:t>
      </w:r>
      <w:r>
        <w:rPr>
          <w:rFonts w:hint="eastAsia" w:ascii="仿宋" w:hAnsi="仿宋" w:eastAsia="仿宋"/>
          <w:szCs w:val="21"/>
        </w:rPr>
        <w:t>（项目没有的项可忽略）</w:t>
      </w:r>
    </w:p>
    <w:p w14:paraId="697D0758">
      <w:pPr>
        <w:rPr>
          <w:rFonts w:hint="eastAsia" w:ascii="仿宋" w:hAnsi="仿宋" w:eastAsia="仿宋"/>
          <w:szCs w:val="21"/>
        </w:rPr>
      </w:pPr>
    </w:p>
    <w:tbl>
      <w:tblPr>
        <w:tblStyle w:val="6"/>
        <w:tblW w:w="0" w:type="auto"/>
        <w:tblInd w:w="0" w:type="dxa"/>
        <w:tblLayout w:type="autofit"/>
        <w:tblCellMar>
          <w:top w:w="15" w:type="dxa"/>
          <w:left w:w="15" w:type="dxa"/>
          <w:bottom w:w="15" w:type="dxa"/>
          <w:right w:w="15" w:type="dxa"/>
        </w:tblCellMar>
      </w:tblPr>
      <w:tblGrid>
        <w:gridCol w:w="1271"/>
        <w:gridCol w:w="2693"/>
        <w:gridCol w:w="788"/>
        <w:gridCol w:w="850"/>
        <w:gridCol w:w="1134"/>
        <w:gridCol w:w="1560"/>
      </w:tblGrid>
      <w:tr w14:paraId="635BB1A3">
        <w:tblPrEx>
          <w:tblCellMar>
            <w:top w:w="15" w:type="dxa"/>
            <w:left w:w="15" w:type="dxa"/>
            <w:bottom w:w="15" w:type="dxa"/>
            <w:right w:w="15" w:type="dxa"/>
          </w:tblCellMar>
        </w:tblPrEx>
        <w:trPr>
          <w:tblHeader/>
        </w:trPr>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4085CFD">
            <w:pPr>
              <w:jc w:val="center"/>
              <w:rPr>
                <w:rFonts w:ascii="仿宋" w:hAnsi="仿宋" w:eastAsia="仿宋"/>
                <w:b/>
                <w:bCs/>
                <w:szCs w:val="21"/>
              </w:rPr>
            </w:pPr>
            <w:r>
              <w:rPr>
                <w:rFonts w:ascii="仿宋" w:hAnsi="仿宋" w:eastAsia="仿宋"/>
                <w:b/>
                <w:bCs/>
                <w:szCs w:val="21"/>
              </w:rPr>
              <w:t>评价类别</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FA5FEFA">
            <w:pPr>
              <w:jc w:val="center"/>
              <w:rPr>
                <w:rFonts w:ascii="仿宋" w:hAnsi="仿宋" w:eastAsia="仿宋"/>
                <w:b/>
                <w:bCs/>
                <w:szCs w:val="21"/>
              </w:rPr>
            </w:pPr>
            <w:r>
              <w:rPr>
                <w:rFonts w:ascii="仿宋" w:hAnsi="仿宋" w:eastAsia="仿宋"/>
                <w:b/>
                <w:bCs/>
                <w:szCs w:val="21"/>
              </w:rPr>
              <w:t>评价项目</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64333D1">
            <w:pPr>
              <w:jc w:val="center"/>
              <w:rPr>
                <w:rFonts w:ascii="仿宋" w:hAnsi="仿宋" w:eastAsia="仿宋"/>
                <w:b/>
                <w:bCs/>
                <w:szCs w:val="21"/>
              </w:rPr>
            </w:pPr>
            <w:r>
              <w:rPr>
                <w:rFonts w:ascii="仿宋" w:hAnsi="仿宋" w:eastAsia="仿宋"/>
                <w:b/>
                <w:bCs/>
                <w:szCs w:val="21"/>
              </w:rPr>
              <w:t>满意</w:t>
            </w: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072F15C">
            <w:pPr>
              <w:jc w:val="center"/>
              <w:rPr>
                <w:rFonts w:ascii="仿宋" w:hAnsi="仿宋" w:eastAsia="仿宋"/>
                <w:b/>
                <w:bCs/>
                <w:szCs w:val="21"/>
              </w:rPr>
            </w:pPr>
            <w:r>
              <w:rPr>
                <w:rFonts w:ascii="仿宋" w:hAnsi="仿宋" w:eastAsia="仿宋"/>
                <w:b/>
                <w:bCs/>
                <w:szCs w:val="21"/>
              </w:rPr>
              <w:t>一般</w:t>
            </w: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99F89D6">
            <w:pPr>
              <w:jc w:val="center"/>
              <w:rPr>
                <w:rFonts w:ascii="仿宋" w:hAnsi="仿宋" w:eastAsia="仿宋"/>
                <w:b/>
                <w:bCs/>
                <w:szCs w:val="21"/>
              </w:rPr>
            </w:pPr>
            <w:r>
              <w:rPr>
                <w:rFonts w:ascii="仿宋" w:hAnsi="仿宋" w:eastAsia="仿宋"/>
                <w:b/>
                <w:bCs/>
                <w:szCs w:val="21"/>
              </w:rPr>
              <w:t>不满意</w:t>
            </w:r>
          </w:p>
        </w:tc>
        <w:tc>
          <w:tcPr>
            <w:tcW w:w="156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F14C7D2">
            <w:pPr>
              <w:jc w:val="center"/>
              <w:rPr>
                <w:rFonts w:ascii="仿宋" w:hAnsi="仿宋" w:eastAsia="仿宋"/>
                <w:b/>
                <w:bCs/>
                <w:szCs w:val="21"/>
              </w:rPr>
            </w:pPr>
            <w:r>
              <w:rPr>
                <w:rFonts w:ascii="仿宋" w:hAnsi="仿宋" w:eastAsia="仿宋"/>
                <w:b/>
                <w:bCs/>
                <w:szCs w:val="21"/>
              </w:rPr>
              <w:t>问题描述</w:t>
            </w:r>
          </w:p>
        </w:tc>
      </w:tr>
      <w:tr w14:paraId="459330B6">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0E0E73B">
            <w:pPr>
              <w:rPr>
                <w:rFonts w:ascii="仿宋" w:hAnsi="仿宋" w:eastAsia="仿宋"/>
                <w:b/>
                <w:bCs/>
                <w:szCs w:val="21"/>
              </w:rPr>
            </w:pPr>
            <w:r>
              <w:rPr>
                <w:rFonts w:hint="eastAsia" w:ascii="仿宋" w:hAnsi="仿宋" w:eastAsia="仿宋"/>
                <w:b/>
                <w:bCs/>
                <w:szCs w:val="21"/>
              </w:rPr>
              <w:t>产品信息</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4F9521C">
            <w:pPr>
              <w:rPr>
                <w:rFonts w:ascii="仿宋" w:hAnsi="仿宋" w:eastAsia="仿宋"/>
                <w:b/>
                <w:bCs/>
                <w:szCs w:val="21"/>
              </w:rPr>
            </w:pPr>
            <w:r>
              <w:rPr>
                <w:rFonts w:hint="eastAsia" w:ascii="仿宋" w:hAnsi="仿宋" w:eastAsia="仿宋"/>
                <w:b/>
                <w:bCs/>
                <w:szCs w:val="21"/>
              </w:rPr>
              <w:t>品牌/型号/规格</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0336912">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D45AFFC">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72ECD5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A5CE1E5">
            <w:pPr>
              <w:rPr>
                <w:rFonts w:ascii="仿宋" w:hAnsi="仿宋" w:eastAsia="仿宋"/>
                <w:szCs w:val="21"/>
              </w:rPr>
            </w:pPr>
          </w:p>
        </w:tc>
      </w:tr>
      <w:tr w14:paraId="3D503143">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36D99961">
            <w:pPr>
              <w:jc w:val="left"/>
              <w:rPr>
                <w:rFonts w:ascii="仿宋" w:hAnsi="仿宋" w:eastAsia="仿宋"/>
                <w:b/>
                <w:bCs/>
                <w:szCs w:val="21"/>
              </w:rPr>
            </w:pPr>
            <w:r>
              <w:rPr>
                <w:rFonts w:hint="eastAsia" w:ascii="仿宋" w:hAnsi="仿宋" w:eastAsia="仿宋"/>
                <w:b/>
                <w:bCs/>
                <w:szCs w:val="21"/>
              </w:rPr>
              <w:t>外观质量</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068E459">
            <w:pPr>
              <w:rPr>
                <w:rFonts w:ascii="仿宋" w:hAnsi="仿宋" w:eastAsia="仿宋"/>
                <w:b/>
                <w:bCs/>
                <w:szCs w:val="21"/>
              </w:rPr>
            </w:pPr>
            <w:r>
              <w:rPr>
                <w:rFonts w:hint="eastAsia" w:ascii="仿宋" w:hAnsi="仿宋" w:eastAsia="仿宋"/>
                <w:b/>
                <w:bCs/>
                <w:szCs w:val="21"/>
              </w:rPr>
              <w:t>电缆品牌型号是否符合</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06AFCDF">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12B392F">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AA8A56">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B7F6B2F">
            <w:pPr>
              <w:rPr>
                <w:rFonts w:ascii="仿宋" w:hAnsi="仿宋" w:eastAsia="仿宋"/>
                <w:szCs w:val="21"/>
              </w:rPr>
            </w:pPr>
          </w:p>
        </w:tc>
      </w:tr>
      <w:tr w14:paraId="0D5263C9">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4D8A27A8">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6BAAD155">
            <w:pPr>
              <w:rPr>
                <w:rFonts w:ascii="仿宋" w:hAnsi="仿宋" w:eastAsia="仿宋"/>
                <w:b/>
                <w:bCs/>
                <w:szCs w:val="21"/>
              </w:rPr>
            </w:pPr>
            <w:r>
              <w:rPr>
                <w:rFonts w:hint="eastAsia" w:ascii="仿宋" w:hAnsi="仿宋" w:eastAsia="仿宋"/>
                <w:b/>
                <w:bCs/>
                <w:szCs w:val="21"/>
              </w:rPr>
              <w:t>电缆品牌型号是否符合</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E6815B8">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6E1C9C2">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6BF693A">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717B7B55">
            <w:pPr>
              <w:rPr>
                <w:rFonts w:ascii="仿宋" w:hAnsi="仿宋" w:eastAsia="仿宋"/>
                <w:szCs w:val="21"/>
              </w:rPr>
            </w:pPr>
          </w:p>
        </w:tc>
      </w:tr>
      <w:tr w14:paraId="15B1F238">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6B77E0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046FF00">
            <w:pPr>
              <w:rPr>
                <w:rFonts w:ascii="仿宋" w:hAnsi="仿宋" w:eastAsia="仿宋"/>
                <w:b/>
                <w:bCs/>
                <w:szCs w:val="21"/>
              </w:rPr>
            </w:pPr>
            <w:r>
              <w:rPr>
                <w:rFonts w:hint="eastAsia" w:ascii="仿宋" w:hAnsi="仿宋" w:eastAsia="仿宋"/>
                <w:b/>
                <w:bCs/>
                <w:szCs w:val="21"/>
              </w:rPr>
              <w:t>电缆接头是否标准</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B30C01">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0422EED">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A3DE1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3624B83">
            <w:pPr>
              <w:rPr>
                <w:rFonts w:ascii="仿宋" w:hAnsi="仿宋" w:eastAsia="仿宋"/>
                <w:szCs w:val="21"/>
              </w:rPr>
            </w:pPr>
          </w:p>
        </w:tc>
      </w:tr>
      <w:tr w14:paraId="52B38E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6A5A4983">
            <w:pPr>
              <w:jc w:val="left"/>
              <w:rPr>
                <w:rFonts w:ascii="仿宋" w:hAnsi="仿宋" w:eastAsia="仿宋"/>
                <w:b/>
                <w:bCs/>
                <w:szCs w:val="21"/>
              </w:rPr>
            </w:pPr>
            <w:r>
              <w:rPr>
                <w:rFonts w:hint="eastAsia" w:ascii="仿宋" w:hAnsi="仿宋" w:eastAsia="仿宋"/>
                <w:b/>
                <w:bCs/>
                <w:szCs w:val="21"/>
              </w:rPr>
              <w:t>使用情况</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0F217BAE">
            <w:pPr>
              <w:rPr>
                <w:rFonts w:hint="default" w:ascii="仿宋" w:hAnsi="仿宋" w:eastAsia="仿宋"/>
                <w:b/>
                <w:bCs/>
                <w:szCs w:val="21"/>
                <w:lang w:val="en-US" w:eastAsia="zh-CN"/>
              </w:rPr>
            </w:pPr>
            <w:r>
              <w:rPr>
                <w:rFonts w:hint="eastAsia" w:ascii="仿宋" w:hAnsi="仿宋" w:eastAsia="仿宋"/>
                <w:b/>
                <w:bCs/>
                <w:szCs w:val="21"/>
                <w:lang w:val="en-US" w:eastAsia="zh-CN"/>
              </w:rPr>
              <w:t>开关是否能承受了</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76ACD43">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D26751A">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138C88F">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D590BA7">
            <w:pPr>
              <w:rPr>
                <w:rFonts w:ascii="仿宋" w:hAnsi="仿宋" w:eastAsia="仿宋"/>
                <w:szCs w:val="21"/>
              </w:rPr>
            </w:pPr>
          </w:p>
        </w:tc>
      </w:tr>
      <w:tr w14:paraId="0AFF80F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1697BC1">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3B9EE6A8">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3AEA7EE">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51E95D9">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9D57AE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4EDE17FF">
            <w:pPr>
              <w:rPr>
                <w:rFonts w:ascii="仿宋" w:hAnsi="仿宋" w:eastAsia="仿宋"/>
                <w:szCs w:val="21"/>
              </w:rPr>
            </w:pPr>
          </w:p>
        </w:tc>
      </w:tr>
      <w:tr w14:paraId="2D68592F">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84EA01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AAA117F">
            <w:pPr>
              <w:rPr>
                <w:rFonts w:ascii="仿宋" w:hAnsi="仿宋" w:eastAsia="仿宋"/>
                <w:b/>
                <w:bCs/>
                <w:szCs w:val="21"/>
              </w:rPr>
            </w:pPr>
            <w:r>
              <w:rPr>
                <w:rFonts w:hint="eastAsia" w:ascii="仿宋" w:hAnsi="仿宋" w:eastAsia="仿宋"/>
                <w:b/>
                <w:bCs/>
                <w:szCs w:val="21"/>
              </w:rPr>
              <w:t>是否跳闸</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3B8F93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AFF0A7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ECEFE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69010AA">
            <w:pPr>
              <w:rPr>
                <w:rFonts w:ascii="仿宋" w:hAnsi="仿宋" w:eastAsia="仿宋"/>
                <w:szCs w:val="21"/>
              </w:rPr>
            </w:pPr>
          </w:p>
        </w:tc>
      </w:tr>
      <w:tr w14:paraId="620DBAE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56B8A3B2">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5197C2D">
            <w:pPr>
              <w:rPr>
                <w:rFonts w:ascii="仿宋" w:hAnsi="仿宋" w:eastAsia="仿宋"/>
                <w:b/>
                <w:bCs/>
                <w:szCs w:val="21"/>
              </w:rPr>
            </w:pPr>
            <w:r>
              <w:rPr>
                <w:rFonts w:hint="eastAsia" w:ascii="仿宋" w:hAnsi="仿宋" w:eastAsia="仿宋"/>
                <w:b/>
                <w:bCs/>
                <w:szCs w:val="21"/>
              </w:rPr>
              <w:t>售后服务及时性</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8D892DC">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169D354">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EB6047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6D1E6372">
            <w:pPr>
              <w:rPr>
                <w:rFonts w:ascii="仿宋" w:hAnsi="仿宋" w:eastAsia="仿宋"/>
                <w:szCs w:val="21"/>
              </w:rPr>
            </w:pPr>
          </w:p>
        </w:tc>
      </w:tr>
      <w:tr w14:paraId="701928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008411D3">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5BFC22A5">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73E5D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4E32D0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186FF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E15DC88">
            <w:pPr>
              <w:rPr>
                <w:rFonts w:ascii="仿宋" w:hAnsi="仿宋" w:eastAsia="仿宋"/>
                <w:szCs w:val="21"/>
              </w:rPr>
            </w:pPr>
          </w:p>
        </w:tc>
      </w:tr>
    </w:tbl>
    <w:p w14:paraId="1879F53C">
      <w:pPr>
        <w:rPr>
          <w:rFonts w:ascii="仿宋" w:hAnsi="仿宋" w:eastAsia="仿宋"/>
          <w:szCs w:val="21"/>
        </w:rPr>
      </w:pPr>
      <w:r>
        <w:rPr>
          <w:rFonts w:ascii="仿宋" w:hAnsi="仿宋" w:eastAsia="仿宋"/>
          <w:szCs w:val="21"/>
        </w:rPr>
        <w:pict>
          <v:rect id="_x0000_i1026" o:spt="1" style="height:1.5pt;width:432pt;" fillcolor="#0F1115" filled="t" stroked="f" coordsize="21600,21600" o:hr="t" o:hrstd="t" o:hrnoshade="t" o:hralign="center">
            <v:path/>
            <v:fill on="t" focussize="0,0"/>
            <v:stroke on="f"/>
            <v:imagedata o:title=""/>
            <o:lock v:ext="edit"/>
            <w10:wrap type="none"/>
            <w10:anchorlock/>
          </v:rect>
        </w:pict>
      </w:r>
    </w:p>
    <w:p w14:paraId="17BD0922">
      <w:pPr>
        <w:rPr>
          <w:rFonts w:ascii="仿宋" w:hAnsi="仿宋" w:eastAsia="仿宋" w:cs="仿宋"/>
          <w:b/>
          <w:bCs/>
          <w:szCs w:val="21"/>
        </w:rPr>
      </w:pPr>
      <w:r>
        <w:rPr>
          <w:rFonts w:hint="eastAsia" w:ascii="仿宋" w:hAnsi="仿宋" w:eastAsia="仿宋"/>
          <w:b/>
          <w:bCs/>
          <w:szCs w:val="21"/>
        </w:rPr>
        <w:t>二、</w:t>
      </w:r>
      <w:r>
        <w:rPr>
          <w:rFonts w:hint="eastAsia" w:ascii="仿宋" w:hAnsi="仿宋" w:eastAsia="仿宋" w:cs="仿宋"/>
          <w:b/>
          <w:bCs/>
          <w:szCs w:val="21"/>
        </w:rPr>
        <w:t>综合评价与建议</w:t>
      </w:r>
    </w:p>
    <w:p w14:paraId="7FBCC2E1">
      <w:pPr>
        <w:rPr>
          <w:rFonts w:ascii="仿宋" w:hAnsi="仿宋" w:eastAsia="仿宋" w:cs="仿宋"/>
          <w:b/>
          <w:bCs/>
          <w:color w:val="EE0000"/>
          <w:szCs w:val="21"/>
        </w:rPr>
      </w:pPr>
      <w:r>
        <w:rPr>
          <w:rFonts w:hint="eastAsia" w:ascii="仿宋" w:hAnsi="仿宋" w:eastAsia="仿宋" w:cs="仿宋"/>
          <w:b/>
          <w:bCs/>
          <w:color w:val="EE0000"/>
          <w:szCs w:val="21"/>
        </w:rPr>
        <w:t>总体满意度评分（满分100分）：______ 分</w:t>
      </w:r>
    </w:p>
    <w:p w14:paraId="7638652E">
      <w:pPr>
        <w:rPr>
          <w:rFonts w:ascii="仿宋" w:hAnsi="仿宋" w:eastAsia="仿宋" w:cs="仿宋"/>
          <w:szCs w:val="21"/>
        </w:rPr>
      </w:pPr>
      <w:r>
        <w:rPr>
          <w:rFonts w:hint="eastAsia" w:ascii="仿宋" w:hAnsi="仿宋" w:eastAsia="仿宋" w:cs="仿宋"/>
          <w:szCs w:val="21"/>
        </w:rPr>
        <w:t>最满意的方面：</w:t>
      </w:r>
    </w:p>
    <w:p w14:paraId="31848EB3">
      <w:pPr>
        <w:rPr>
          <w:rFonts w:ascii="仿宋" w:hAnsi="仿宋" w:eastAsia="仿宋" w:cs="仿宋"/>
          <w:szCs w:val="21"/>
        </w:rPr>
      </w:pPr>
    </w:p>
    <w:p w14:paraId="19BE127A">
      <w:pPr>
        <w:rPr>
          <w:rFonts w:ascii="仿宋" w:hAnsi="仿宋" w:eastAsia="仿宋" w:cs="仿宋"/>
          <w:szCs w:val="21"/>
        </w:rPr>
      </w:pPr>
      <w:r>
        <w:rPr>
          <w:rFonts w:hint="eastAsia" w:ascii="仿宋" w:hAnsi="仿宋" w:eastAsia="仿宋" w:cs="仿宋"/>
          <w:szCs w:val="21"/>
        </w:rPr>
        <w:t>发现的主要质量问题与改进建议：</w:t>
      </w:r>
    </w:p>
    <w:p w14:paraId="0D681102">
      <w:pPr>
        <w:rPr>
          <w:rFonts w:ascii="仿宋" w:hAnsi="仿宋" w:eastAsia="仿宋" w:cs="仿宋"/>
          <w:szCs w:val="21"/>
        </w:rPr>
      </w:pPr>
    </w:p>
    <w:p w14:paraId="6557C773">
      <w:pPr>
        <w:rPr>
          <w:rFonts w:ascii="仿宋" w:hAnsi="仿宋" w:eastAsia="仿宋" w:cs="仿宋"/>
          <w:szCs w:val="21"/>
        </w:rPr>
      </w:pPr>
      <w:r>
        <w:rPr>
          <w:rFonts w:hint="eastAsia" w:ascii="仿宋" w:hAnsi="仿宋" w:eastAsia="仿宋" w:cs="仿宋"/>
          <w:szCs w:val="21"/>
        </w:rPr>
        <w:t>紧急程度：□ 紧急 □ 重要 □ 一般</w:t>
      </w:r>
    </w:p>
    <w:p w14:paraId="700077C4">
      <w:pPr>
        <w:rPr>
          <w:rFonts w:ascii="仿宋" w:hAnsi="仿宋" w:eastAsia="仿宋" w:cs="仿宋"/>
          <w:szCs w:val="21"/>
        </w:rPr>
      </w:pPr>
      <w:r>
        <w:rPr>
          <w:rFonts w:ascii="仿宋" w:hAnsi="仿宋" w:eastAsia="仿宋" w:cs="仿宋"/>
          <w:szCs w:val="21"/>
        </w:rPr>
        <w:pict>
          <v:rect id="_x0000_i1027" o:spt="1" style="height:1.5pt;width:432pt;" fillcolor="#0F1115" filled="t" stroked="f" coordsize="21600,21600" o:hr="t" o:hrstd="t" o:hrnoshade="t" o:hralign="center">
            <v:path/>
            <v:fill on="t" focussize="0,0"/>
            <v:stroke on="f"/>
            <v:imagedata o:title=""/>
            <o:lock v:ext="edit"/>
            <w10:wrap type="none"/>
            <w10:anchorlock/>
          </v:rect>
        </w:pict>
      </w:r>
    </w:p>
    <w:p w14:paraId="655B57DA">
      <w:pPr>
        <w:jc w:val="right"/>
        <w:rPr>
          <w:rFonts w:ascii="仿宋" w:hAnsi="仿宋" w:eastAsia="仿宋" w:cs="仿宋"/>
          <w:szCs w:val="21"/>
        </w:rPr>
      </w:pPr>
    </w:p>
    <w:p w14:paraId="5E15501F">
      <w:pPr>
        <w:jc w:val="right"/>
        <w:rPr>
          <w:rFonts w:ascii="仿宋" w:hAnsi="仿宋" w:eastAsia="仿宋" w:cs="仿宋"/>
          <w:szCs w:val="21"/>
        </w:rPr>
      </w:pPr>
      <w:r>
        <w:rPr>
          <w:rFonts w:hint="eastAsia" w:ascii="仿宋" w:hAnsi="仿宋" w:eastAsia="仿宋" w:cs="仿宋"/>
          <w:szCs w:val="21"/>
        </w:rPr>
        <w:t>使用方签章：____________________</w:t>
      </w:r>
    </w:p>
    <w:p w14:paraId="7C576E56">
      <w:pPr>
        <w:jc w:val="right"/>
        <w:rPr>
          <w:rFonts w:ascii="仿宋" w:hAnsi="仿宋" w:eastAsia="仿宋"/>
          <w:szCs w:val="21"/>
        </w:rPr>
      </w:pPr>
      <w:r>
        <w:rPr>
          <w:rFonts w:hint="eastAsia" w:ascii="仿宋" w:hAnsi="仿宋" w:eastAsia="仿宋" w:cs="仿宋"/>
          <w:szCs w:val="21"/>
        </w:rPr>
        <w:t>日期：____________________</w:t>
      </w:r>
    </w:p>
    <w:p w14:paraId="5B98FEFD">
      <w:pPr>
        <w:spacing w:line="360" w:lineRule="auto"/>
        <w:ind w:left="420"/>
        <w:rPr>
          <w:rFonts w:ascii="宋体" w:hAnsi="宋体" w:cs="宋体"/>
          <w:b/>
          <w:bCs/>
          <w:sz w:val="28"/>
          <w:szCs w:val="28"/>
        </w:rPr>
      </w:pPr>
      <w:r>
        <w:rPr>
          <w:rFonts w:hint="eastAsia" w:ascii="宋体" w:hAnsi="宋体" w:cs="宋体"/>
          <w:b/>
          <w:bCs/>
          <w:sz w:val="28"/>
          <w:szCs w:val="28"/>
        </w:rPr>
        <w:t>使用考察期满后，使用单位将依据《工程质量评价表》出具正式评价。施工单位须对评价中发现的质量问题完成整改，该评价报告最终作为支付结算款的依据。</w:t>
      </w:r>
    </w:p>
    <w:p w14:paraId="293D500B">
      <w:pPr>
        <w:spacing w:line="360" w:lineRule="auto"/>
        <w:ind w:left="420"/>
        <w:rPr>
          <w:rFonts w:ascii="宋体" w:hAnsi="宋体" w:cs="宋体"/>
          <w:b/>
          <w:bCs/>
          <w:sz w:val="28"/>
          <w:szCs w:val="28"/>
        </w:rPr>
      </w:pPr>
      <w:r>
        <w:rPr>
          <w:rFonts w:hint="eastAsia" w:ascii="宋体" w:hAnsi="宋体" w:cs="宋体"/>
          <w:b/>
          <w:bCs/>
          <w:sz w:val="28"/>
          <w:szCs w:val="28"/>
        </w:rPr>
        <w:t>及格：80分</w:t>
      </w:r>
    </w:p>
    <w:p w14:paraId="4752189D">
      <w:pPr>
        <w:spacing w:line="360" w:lineRule="auto"/>
        <w:ind w:left="420"/>
        <w:rPr>
          <w:rFonts w:ascii="宋体" w:hAnsi="宋体" w:cs="宋体"/>
          <w:b/>
          <w:bCs/>
          <w:sz w:val="28"/>
          <w:szCs w:val="28"/>
        </w:rPr>
      </w:pPr>
      <w:r>
        <w:rPr>
          <w:rFonts w:hint="eastAsia" w:ascii="宋体" w:hAnsi="宋体" w:cs="宋体"/>
          <w:b/>
          <w:bCs/>
          <w:sz w:val="28"/>
          <w:szCs w:val="28"/>
        </w:rPr>
        <w:t>良好：80-90分</w:t>
      </w:r>
    </w:p>
    <w:p w14:paraId="55383E98">
      <w:pPr>
        <w:spacing w:line="360" w:lineRule="auto"/>
        <w:ind w:left="420"/>
        <w:rPr>
          <w:rFonts w:ascii="宋体" w:hAnsi="宋体" w:cs="宋体"/>
          <w:b/>
          <w:bCs/>
          <w:color w:val="EE0000"/>
          <w:sz w:val="28"/>
          <w:szCs w:val="28"/>
        </w:rPr>
      </w:pPr>
      <w:r>
        <w:rPr>
          <w:rFonts w:hint="eastAsia" w:ascii="宋体" w:hAnsi="宋体" w:cs="宋体"/>
          <w:b/>
          <w:bCs/>
          <w:sz w:val="28"/>
          <w:szCs w:val="28"/>
        </w:rPr>
        <w:t>优秀：90-100分</w:t>
      </w:r>
    </w:p>
    <w:p w14:paraId="3E301B8A">
      <w:pPr>
        <w:pStyle w:val="2"/>
        <w:spacing w:before="0" w:after="0" w:line="360" w:lineRule="auto"/>
        <w:ind w:firstLine="562" w:firstLineChars="200"/>
        <w:rPr>
          <w:rFonts w:ascii="宋体" w:hAnsi="宋体" w:cs="宋体"/>
          <w:sz w:val="28"/>
          <w:szCs w:val="28"/>
        </w:rPr>
      </w:pPr>
      <w:r>
        <w:rPr>
          <w:rFonts w:hint="eastAsia" w:ascii="宋体" w:hAnsi="宋体" w:cs="宋体"/>
          <w:sz w:val="28"/>
          <w:szCs w:val="28"/>
        </w:rPr>
        <w:t>十二、质量保证期</w:t>
      </w:r>
      <w:bookmarkEnd w:id="10"/>
    </w:p>
    <w:p w14:paraId="529394EC">
      <w:pPr>
        <w:spacing w:line="360" w:lineRule="auto"/>
        <w:ind w:firstLine="658" w:firstLineChars="235"/>
        <w:rPr>
          <w:rFonts w:ascii="宋体" w:hAnsi="宋体" w:cs="宋体"/>
          <w:sz w:val="28"/>
          <w:szCs w:val="28"/>
        </w:rPr>
      </w:pPr>
      <w:r>
        <w:rPr>
          <w:rFonts w:hint="eastAsia" w:ascii="宋体" w:hAnsi="宋体" w:cs="宋体"/>
          <w:sz w:val="28"/>
          <w:szCs w:val="28"/>
        </w:rPr>
        <w:t>工程质量保修及保修责任</w:t>
      </w:r>
    </w:p>
    <w:p w14:paraId="7E6D5E15">
      <w:pPr>
        <w:spacing w:line="360" w:lineRule="auto"/>
        <w:ind w:firstLine="560" w:firstLineChars="200"/>
        <w:rPr>
          <w:rFonts w:ascii="宋体" w:hAnsi="宋体" w:cs="宋体"/>
          <w:sz w:val="28"/>
          <w:szCs w:val="28"/>
        </w:rPr>
      </w:pPr>
      <w:r>
        <w:rPr>
          <w:rFonts w:hint="eastAsia" w:ascii="宋体" w:hAnsi="宋体" w:cs="宋体"/>
          <w:sz w:val="28"/>
          <w:szCs w:val="28"/>
        </w:rPr>
        <w:t>（1）本工程保修期自工程竣工验收合格且发包人交付业主之日起不少于2年；</w:t>
      </w:r>
    </w:p>
    <w:p w14:paraId="0044713D">
      <w:pPr>
        <w:spacing w:line="360" w:lineRule="auto"/>
        <w:ind w:firstLine="658" w:firstLineChars="235"/>
        <w:rPr>
          <w:rFonts w:ascii="宋体" w:hAnsi="宋体" w:cs="宋体"/>
          <w:sz w:val="28"/>
          <w:szCs w:val="28"/>
        </w:rPr>
      </w:pPr>
      <w:r>
        <w:rPr>
          <w:rFonts w:hint="eastAsia" w:ascii="宋体" w:hAnsi="宋体" w:cs="宋体"/>
          <w:sz w:val="28"/>
          <w:szCs w:val="28"/>
        </w:rPr>
        <w:t>（2）中标人承诺接到招标人通知后</w:t>
      </w:r>
      <w:r>
        <w:rPr>
          <w:rFonts w:hint="eastAsia" w:ascii="宋体" w:hAnsi="宋体" w:cs="宋体"/>
          <w:sz w:val="28"/>
          <w:szCs w:val="28"/>
          <w:lang w:val="en-US" w:eastAsia="zh-CN"/>
        </w:rPr>
        <w:t>24</w:t>
      </w:r>
      <w:r>
        <w:rPr>
          <w:rFonts w:hint="eastAsia" w:ascii="宋体" w:hAnsi="宋体" w:cs="宋体"/>
          <w:sz w:val="28"/>
          <w:szCs w:val="28"/>
        </w:rPr>
        <w:t>小时内派专门技术人员赶到指定地点，提供维修服务；</w:t>
      </w:r>
    </w:p>
    <w:p w14:paraId="0CE8AAFF">
      <w:pPr>
        <w:spacing w:line="360" w:lineRule="auto"/>
        <w:ind w:firstLine="560" w:firstLineChars="200"/>
        <w:rPr>
          <w:rFonts w:ascii="宋体" w:hAnsi="宋体" w:cs="宋体"/>
          <w:sz w:val="28"/>
          <w:szCs w:val="28"/>
        </w:rPr>
      </w:pPr>
      <w:r>
        <w:rPr>
          <w:rFonts w:hint="eastAsia" w:ascii="宋体" w:hAnsi="宋体" w:cs="宋体"/>
          <w:sz w:val="28"/>
          <w:szCs w:val="28"/>
        </w:rPr>
        <w:t>（3）在保修期内按招标人的使用要求，维修因施工及材料质量问题导致的工程质量问题和缺陷，并赔偿由此造成的全部损失；工程质量问题和缺陷经中标人维修两次以上（含两次）后仍不能满足招标人的使用要求的，招标人有权安排第三方进行维修处理，维修的费用从质量保修金内扣除，同时中标人承担承担违约责任；</w:t>
      </w:r>
    </w:p>
    <w:p w14:paraId="749733A7">
      <w:pPr>
        <w:spacing w:line="360" w:lineRule="auto"/>
        <w:ind w:firstLine="560" w:firstLineChars="200"/>
        <w:rPr>
          <w:rFonts w:ascii="宋体" w:hAnsi="宋体" w:cs="宋体"/>
          <w:b/>
          <w:sz w:val="28"/>
          <w:szCs w:val="28"/>
        </w:rPr>
      </w:pPr>
      <w:r>
        <w:rPr>
          <w:rFonts w:hint="eastAsia" w:ascii="宋体" w:hAnsi="宋体" w:cs="宋体"/>
          <w:sz w:val="28"/>
          <w:szCs w:val="28"/>
        </w:rPr>
        <w:t>（4）</w:t>
      </w:r>
      <w:r>
        <w:rPr>
          <w:rFonts w:hint="eastAsia" w:ascii="宋体" w:hAnsi="宋体" w:cs="宋体"/>
          <w:b/>
          <w:sz w:val="28"/>
          <w:szCs w:val="28"/>
        </w:rPr>
        <w:t>投标人书面承诺工程的合理使用年限及保修期内保修的具体措施和方法（投标时必须提供）；</w:t>
      </w:r>
    </w:p>
    <w:p w14:paraId="73E7CBBE">
      <w:pPr>
        <w:spacing w:line="360" w:lineRule="auto"/>
        <w:ind w:firstLine="560" w:firstLineChars="200"/>
        <w:rPr>
          <w:rFonts w:ascii="宋体" w:hAnsi="宋体" w:cs="宋体"/>
          <w:sz w:val="28"/>
          <w:szCs w:val="28"/>
        </w:rPr>
      </w:pPr>
      <w:r>
        <w:rPr>
          <w:rFonts w:hint="eastAsia" w:ascii="宋体" w:hAnsi="宋体" w:cs="宋体"/>
          <w:sz w:val="28"/>
          <w:szCs w:val="28"/>
        </w:rPr>
        <w:t>（5）在工程合理使用期限内，因中标人原因致使造成财产损失的，中标人应承担损害赔偿责任。</w:t>
      </w:r>
    </w:p>
    <w:p w14:paraId="5C8DE6EF">
      <w:pPr>
        <w:pStyle w:val="2"/>
        <w:spacing w:before="0" w:after="0" w:line="360" w:lineRule="auto"/>
        <w:ind w:firstLine="562" w:firstLineChars="200"/>
        <w:rPr>
          <w:rFonts w:ascii="宋体" w:hAnsi="宋体" w:cs="宋体"/>
          <w:sz w:val="28"/>
          <w:szCs w:val="28"/>
        </w:rPr>
      </w:pPr>
      <w:bookmarkStart w:id="14" w:name="_Toc381990008"/>
      <w:r>
        <w:rPr>
          <w:rFonts w:hint="eastAsia" w:ascii="宋体" w:hAnsi="宋体" w:cs="宋体"/>
          <w:sz w:val="28"/>
          <w:szCs w:val="28"/>
        </w:rPr>
        <w:t>十三、相关要求：</w:t>
      </w:r>
      <w:bookmarkEnd w:id="14"/>
    </w:p>
    <w:p w14:paraId="6403DB01">
      <w:pPr>
        <w:ind w:firstLine="658" w:firstLineChars="235"/>
        <w:rPr>
          <w:rFonts w:hint="eastAsia" w:ascii="宋体" w:hAnsi="宋体"/>
          <w:sz w:val="28"/>
          <w:szCs w:val="28"/>
        </w:rPr>
      </w:pPr>
      <w:bookmarkStart w:id="15" w:name="_Toc381990009"/>
      <w:r>
        <w:rPr>
          <w:rFonts w:hint="eastAsia" w:ascii="宋体" w:hAnsi="宋体"/>
          <w:sz w:val="28"/>
          <w:szCs w:val="28"/>
        </w:rPr>
        <w:t>参加投标的企业必须具有独立的法人资格。所提交的投标文件中应包括以下资格证明文件资料：</w:t>
      </w:r>
    </w:p>
    <w:p w14:paraId="5C33ABD3">
      <w:pPr>
        <w:ind w:firstLine="658" w:firstLineChars="235"/>
        <w:rPr>
          <w:rFonts w:ascii="宋体" w:hAnsi="宋体"/>
          <w:sz w:val="28"/>
          <w:szCs w:val="28"/>
        </w:rPr>
      </w:pPr>
      <w:r>
        <w:rPr>
          <w:rFonts w:hint="eastAsia" w:ascii="宋体" w:hAnsi="宋体"/>
          <w:sz w:val="28"/>
          <w:szCs w:val="28"/>
        </w:rPr>
        <w:t>（1）企业法人营业执照副本复印件</w:t>
      </w:r>
    </w:p>
    <w:p w14:paraId="6C314F25">
      <w:pPr>
        <w:ind w:firstLine="658" w:firstLineChars="235"/>
        <w:rPr>
          <w:rFonts w:ascii="宋体" w:hAnsi="宋体"/>
          <w:sz w:val="28"/>
          <w:szCs w:val="28"/>
        </w:rPr>
      </w:pPr>
      <w:r>
        <w:rPr>
          <w:rFonts w:hint="eastAsia" w:ascii="宋体" w:hAnsi="宋体"/>
          <w:sz w:val="28"/>
          <w:szCs w:val="28"/>
        </w:rPr>
        <w:t>（2）法人授权委托书</w:t>
      </w:r>
    </w:p>
    <w:p w14:paraId="31D10E41">
      <w:pPr>
        <w:ind w:firstLine="658" w:firstLineChars="235"/>
        <w:rPr>
          <w:rFonts w:ascii="宋体" w:hAnsi="宋体"/>
          <w:sz w:val="28"/>
          <w:szCs w:val="28"/>
        </w:rPr>
      </w:pPr>
      <w:r>
        <w:rPr>
          <w:rFonts w:hint="eastAsia" w:ascii="宋体" w:hAnsi="宋体"/>
          <w:sz w:val="28"/>
          <w:szCs w:val="28"/>
        </w:rPr>
        <w:t>（3）企业税务登记证副本复印件</w:t>
      </w:r>
    </w:p>
    <w:p w14:paraId="5066A001">
      <w:pPr>
        <w:ind w:firstLine="658" w:firstLineChars="235"/>
        <w:rPr>
          <w:rFonts w:ascii="宋体" w:hAnsi="宋体"/>
          <w:sz w:val="28"/>
          <w:szCs w:val="28"/>
        </w:rPr>
      </w:pPr>
      <w:r>
        <w:rPr>
          <w:rFonts w:hint="eastAsia" w:ascii="宋体" w:hAnsi="宋体"/>
          <w:sz w:val="28"/>
          <w:szCs w:val="28"/>
        </w:rPr>
        <w:t>（4）工业产品备案证复印件</w:t>
      </w:r>
    </w:p>
    <w:p w14:paraId="580C10CF">
      <w:pPr>
        <w:ind w:firstLine="658" w:firstLineChars="235"/>
        <w:rPr>
          <w:rFonts w:ascii="宋体" w:hAnsi="宋体"/>
          <w:sz w:val="28"/>
          <w:szCs w:val="28"/>
        </w:rPr>
      </w:pPr>
      <w:r>
        <w:rPr>
          <w:rFonts w:hint="eastAsia" w:ascii="宋体" w:hAnsi="宋体"/>
          <w:sz w:val="28"/>
          <w:szCs w:val="28"/>
        </w:rPr>
        <w:t>（5）企业生产标准证书</w:t>
      </w:r>
    </w:p>
    <w:p w14:paraId="77052245">
      <w:pPr>
        <w:ind w:firstLine="658" w:firstLineChars="235"/>
        <w:rPr>
          <w:rFonts w:hint="eastAsia" w:ascii="宋体" w:hAnsi="宋体"/>
          <w:sz w:val="28"/>
          <w:szCs w:val="28"/>
        </w:rPr>
      </w:pPr>
      <w:r>
        <w:rPr>
          <w:rFonts w:hint="eastAsia" w:ascii="宋体" w:hAnsi="宋体"/>
          <w:sz w:val="28"/>
          <w:szCs w:val="28"/>
        </w:rPr>
        <w:t>（6）产品检验报告</w:t>
      </w:r>
    </w:p>
    <w:p w14:paraId="57ED7AB5">
      <w:pPr>
        <w:ind w:firstLine="658" w:firstLineChars="235"/>
        <w:rPr>
          <w:rFonts w:hint="eastAsia" w:ascii="宋体" w:hAnsi="宋体"/>
          <w:sz w:val="28"/>
          <w:szCs w:val="28"/>
        </w:rPr>
      </w:pPr>
      <w:r>
        <w:rPr>
          <w:rFonts w:hint="eastAsia" w:ascii="宋体" w:hAnsi="宋体"/>
          <w:sz w:val="28"/>
          <w:szCs w:val="28"/>
        </w:rPr>
        <w:t>（7）施工企业资质证件</w:t>
      </w:r>
    </w:p>
    <w:p w14:paraId="0810F94C">
      <w:pPr>
        <w:ind w:firstLine="658" w:firstLineChars="235"/>
        <w:rPr>
          <w:rFonts w:hint="eastAsia" w:ascii="宋体" w:hAnsi="宋体"/>
          <w:sz w:val="28"/>
          <w:szCs w:val="28"/>
        </w:rPr>
      </w:pPr>
      <w:r>
        <w:rPr>
          <w:rFonts w:hint="eastAsia" w:ascii="宋体" w:hAnsi="宋体"/>
          <w:sz w:val="28"/>
          <w:szCs w:val="28"/>
        </w:rPr>
        <w:t>（8）安全生产许可证</w:t>
      </w:r>
    </w:p>
    <w:p w14:paraId="6471A799">
      <w:pPr>
        <w:rPr>
          <w:rFonts w:hint="eastAsia" w:eastAsia="宋体"/>
          <w:lang w:eastAsia="zh-CN"/>
        </w:rPr>
      </w:pPr>
      <w:r>
        <w:rPr>
          <w:rFonts w:hint="eastAsia" w:ascii="宋体" w:hAnsi="宋体"/>
          <w:sz w:val="28"/>
          <w:szCs w:val="28"/>
        </w:rPr>
        <w:t>注：（1）本清单为通用资料模板，投标人无需逐项全部提供，仅结合本项目实际业务类型、自身投标范围提交对应有效证件即可</w:t>
      </w:r>
      <w:r>
        <w:rPr>
          <w:rFonts w:hint="eastAsia" w:ascii="宋体" w:hAnsi="宋体"/>
          <w:sz w:val="28"/>
          <w:szCs w:val="28"/>
          <w:lang w:eastAsia="zh-CN"/>
        </w:rPr>
        <w:t>；</w:t>
      </w:r>
    </w:p>
    <w:p w14:paraId="584783E8">
      <w:pPr>
        <w:ind w:firstLine="560" w:firstLineChars="200"/>
        <w:rPr>
          <w:rFonts w:hint="eastAsia" w:eastAsia="宋体"/>
          <w:lang w:eastAsia="zh-CN"/>
        </w:rPr>
      </w:pPr>
      <w:r>
        <w:rPr>
          <w:rFonts w:hint="eastAsia" w:ascii="宋体" w:hAnsi="宋体"/>
          <w:sz w:val="28"/>
          <w:szCs w:val="28"/>
        </w:rPr>
        <w:t>（2）所提交资料须与本项目投标内容相匹配，缺少关键资料将影响评审结果</w:t>
      </w:r>
      <w:r>
        <w:rPr>
          <w:rFonts w:hint="eastAsia" w:ascii="宋体" w:hAnsi="宋体"/>
          <w:sz w:val="28"/>
          <w:szCs w:val="28"/>
          <w:lang w:eastAsia="zh-CN"/>
        </w:rPr>
        <w:t>；</w:t>
      </w:r>
    </w:p>
    <w:p w14:paraId="4AFD6F7E">
      <w:pPr>
        <w:ind w:firstLine="560" w:firstLineChars="200"/>
        <w:rPr>
          <w:rFonts w:hint="eastAsia" w:eastAsia="宋体"/>
          <w:lang w:eastAsia="zh-CN"/>
        </w:rPr>
      </w:pPr>
      <w:r>
        <w:rPr>
          <w:rFonts w:hint="eastAsia" w:ascii="宋体" w:hAnsi="宋体"/>
          <w:sz w:val="28"/>
          <w:szCs w:val="28"/>
        </w:rPr>
        <w:t>（3）投标单位必须提供证明其有资格进行投标和有能力履行合同的文件，作为投标文件的一部分。投标单位的资格证明文件必须真实、有效、完整，且以中文为准，否则将视为报价无效</w:t>
      </w:r>
      <w:r>
        <w:rPr>
          <w:rFonts w:hint="eastAsia" w:ascii="宋体" w:hAnsi="宋体"/>
          <w:sz w:val="28"/>
          <w:szCs w:val="28"/>
          <w:lang w:eastAsia="zh-CN"/>
        </w:rPr>
        <w:t>；</w:t>
      </w:r>
    </w:p>
    <w:p w14:paraId="77742928">
      <w:pPr>
        <w:ind w:firstLine="560" w:firstLineChars="200"/>
        <w:rPr>
          <w:rFonts w:hint="eastAsia" w:ascii="宋体" w:hAnsi="宋体"/>
          <w:sz w:val="28"/>
          <w:szCs w:val="28"/>
        </w:rPr>
      </w:pPr>
      <w:r>
        <w:rPr>
          <w:rFonts w:hint="eastAsia" w:ascii="宋体" w:hAnsi="宋体"/>
          <w:sz w:val="28"/>
          <w:szCs w:val="28"/>
        </w:rPr>
        <w:t>（4）资格证明文件中的字体、印章要清晰，否则投标文件将会被拒绝。</w:t>
      </w:r>
    </w:p>
    <w:p w14:paraId="716F4569">
      <w:pPr>
        <w:pStyle w:val="2"/>
        <w:spacing w:before="0" w:after="0" w:line="360" w:lineRule="auto"/>
        <w:ind w:firstLine="562" w:firstLineChars="200"/>
        <w:rPr>
          <w:rFonts w:ascii="宋体" w:hAnsi="宋体" w:cs="宋体"/>
          <w:sz w:val="28"/>
          <w:szCs w:val="28"/>
        </w:rPr>
      </w:pPr>
      <w:r>
        <w:rPr>
          <w:rFonts w:hint="eastAsia" w:ascii="宋体" w:hAnsi="宋体" w:cs="宋体"/>
          <w:sz w:val="28"/>
          <w:szCs w:val="28"/>
        </w:rPr>
        <w:t>十四、投标注意事项：</w:t>
      </w:r>
      <w:bookmarkEnd w:id="15"/>
    </w:p>
    <w:p w14:paraId="3B558899">
      <w:pPr>
        <w:pStyle w:val="3"/>
        <w:ind w:firstLine="658" w:firstLineChars="235"/>
        <w:rPr>
          <w:rFonts w:hAnsi="宋体" w:cs="宋体"/>
          <w:sz w:val="28"/>
          <w:szCs w:val="28"/>
        </w:rPr>
      </w:pPr>
      <w:r>
        <w:rPr>
          <w:rFonts w:hint="eastAsia" w:hAnsi="宋体" w:cs="宋体"/>
          <w:sz w:val="28"/>
          <w:szCs w:val="28"/>
        </w:rPr>
        <w:t>1、投标保证金为人民币</w:t>
      </w:r>
      <w:r>
        <w:rPr>
          <w:rFonts w:hint="eastAsia" w:hAnsi="宋体" w:cs="宋体"/>
          <w:b/>
          <w:bCs/>
          <w:sz w:val="28"/>
          <w:szCs w:val="28"/>
          <w:u w:val="single"/>
        </w:rPr>
        <w:t xml:space="preserve"> </w:t>
      </w:r>
      <w:r>
        <w:rPr>
          <w:rFonts w:hint="eastAsia" w:hAnsi="宋体" w:cs="宋体"/>
          <w:b/>
          <w:bCs/>
          <w:sz w:val="28"/>
          <w:szCs w:val="28"/>
          <w:u w:val="single"/>
          <w:lang w:eastAsia="zh-CN"/>
        </w:rPr>
        <w:t>壹万</w:t>
      </w:r>
      <w:r>
        <w:rPr>
          <w:rFonts w:hint="eastAsia" w:hAnsi="宋体" w:cs="宋体"/>
          <w:b/>
          <w:bCs/>
          <w:sz w:val="28"/>
          <w:szCs w:val="28"/>
          <w:u w:val="single"/>
        </w:rPr>
        <w:t>元整</w:t>
      </w:r>
      <w:r>
        <w:rPr>
          <w:rFonts w:hint="eastAsia" w:hAnsi="宋体" w:cs="宋体"/>
          <w:b/>
          <w:sz w:val="28"/>
          <w:szCs w:val="28"/>
        </w:rPr>
        <w:t>，</w:t>
      </w:r>
      <w:r>
        <w:rPr>
          <w:rFonts w:hint="eastAsia" w:hAnsi="宋体" w:cs="宋体"/>
          <w:sz w:val="28"/>
          <w:szCs w:val="28"/>
        </w:rPr>
        <w:t>中标者转为履约保证金保留至工程竣工验收后无息退还，落标者于决标后无息退还。在投标报价有效期内，中标单位收到中标通知后如不按报价履约的，投标保证金不予以退还。</w:t>
      </w:r>
    </w:p>
    <w:p w14:paraId="6F808CA8">
      <w:pPr>
        <w:ind w:firstLine="562" w:firstLineChars="200"/>
        <w:rPr>
          <w:rFonts w:ascii="宋体" w:hAnsi="宋体" w:cs="宋体"/>
          <w:b/>
          <w:sz w:val="28"/>
          <w:szCs w:val="28"/>
        </w:rPr>
      </w:pPr>
      <w:r>
        <w:rPr>
          <w:rFonts w:hint="eastAsia" w:ascii="宋体" w:hAnsi="宋体" w:cs="宋体"/>
          <w:b/>
          <w:sz w:val="28"/>
          <w:szCs w:val="28"/>
        </w:rPr>
        <w:t>2、参标单位的保证金应当在报价截止时间24小时前到达招标单位指定帐户；</w:t>
      </w:r>
    </w:p>
    <w:p w14:paraId="3A92B631">
      <w:pPr>
        <w:ind w:firstLine="560" w:firstLineChars="200"/>
        <w:rPr>
          <w:rFonts w:ascii="宋体" w:hAnsi="宋体" w:cs="宋体"/>
          <w:sz w:val="28"/>
          <w:szCs w:val="28"/>
        </w:rPr>
      </w:pPr>
      <w:r>
        <w:rPr>
          <w:rFonts w:hint="eastAsia" w:ascii="宋体" w:hAnsi="宋体" w:cs="宋体"/>
          <w:sz w:val="28"/>
          <w:szCs w:val="28"/>
        </w:rPr>
        <w:t>开户名称：迪尚（山东）康养发展有限公司</w:t>
      </w:r>
    </w:p>
    <w:p w14:paraId="772AF17A">
      <w:pPr>
        <w:ind w:firstLine="560" w:firstLineChars="200"/>
        <w:rPr>
          <w:rFonts w:ascii="宋体" w:hAnsi="宋体" w:cs="宋体"/>
          <w:sz w:val="28"/>
          <w:szCs w:val="28"/>
        </w:rPr>
      </w:pPr>
      <w:r>
        <w:rPr>
          <w:rFonts w:hint="eastAsia" w:ascii="宋体" w:hAnsi="宋体" w:cs="宋体"/>
          <w:sz w:val="28"/>
          <w:szCs w:val="28"/>
        </w:rPr>
        <w:t>开户银行：工商银行威海分行营业部</w:t>
      </w:r>
    </w:p>
    <w:p w14:paraId="2C829970">
      <w:pPr>
        <w:ind w:firstLine="560" w:firstLineChars="200"/>
        <w:rPr>
          <w:rFonts w:ascii="宋体" w:hAnsi="宋体" w:cs="宋体"/>
          <w:sz w:val="28"/>
          <w:szCs w:val="28"/>
        </w:rPr>
      </w:pPr>
      <w:r>
        <w:rPr>
          <w:rFonts w:hint="eastAsia" w:ascii="宋体" w:hAnsi="宋体" w:cs="宋体"/>
          <w:sz w:val="28"/>
          <w:szCs w:val="28"/>
        </w:rPr>
        <w:t>银行帐号：1614028209100210103</w:t>
      </w:r>
    </w:p>
    <w:p w14:paraId="1B352D6C">
      <w:pPr>
        <w:spacing w:line="360" w:lineRule="auto"/>
        <w:ind w:firstLine="560" w:firstLineChars="200"/>
        <w:rPr>
          <w:rFonts w:ascii="宋体" w:hAnsi="宋体" w:cs="宋体"/>
          <w:sz w:val="28"/>
          <w:szCs w:val="28"/>
        </w:rPr>
      </w:pPr>
      <w:r>
        <w:rPr>
          <w:rFonts w:hint="eastAsia" w:ascii="宋体" w:hAnsi="宋体" w:cs="宋体"/>
          <w:sz w:val="28"/>
          <w:szCs w:val="28"/>
        </w:rPr>
        <w:t>3、投标人需到施工现场踏勘以充分了解其施工环境、工地位置、情况、道路、存储空间、装卸限制及任何其他足以影响承包价及工期的情况。</w:t>
      </w:r>
    </w:p>
    <w:p w14:paraId="05E67182">
      <w:pPr>
        <w:spacing w:line="360" w:lineRule="auto"/>
        <w:ind w:firstLine="560" w:firstLineChars="200"/>
        <w:rPr>
          <w:rFonts w:ascii="宋体" w:hAnsi="宋体" w:cs="宋体"/>
          <w:sz w:val="28"/>
          <w:szCs w:val="28"/>
        </w:rPr>
      </w:pPr>
      <w:r>
        <w:rPr>
          <w:rFonts w:hint="eastAsia" w:ascii="宋体" w:hAnsi="宋体" w:cs="宋体"/>
          <w:sz w:val="28"/>
          <w:szCs w:val="28"/>
        </w:rPr>
        <w:t>4、请于</w:t>
      </w:r>
      <w:r>
        <w:rPr>
          <w:rFonts w:hint="eastAsia" w:ascii="宋体" w:hAnsi="宋体" w:cs="宋体"/>
          <w:b/>
          <w:bCs/>
          <w:sz w:val="28"/>
          <w:szCs w:val="28"/>
        </w:rPr>
        <w:t>202</w:t>
      </w:r>
      <w:r>
        <w:rPr>
          <w:rFonts w:hint="eastAsia" w:ascii="宋体" w:hAnsi="宋体" w:cs="宋体"/>
          <w:b/>
          <w:bCs/>
          <w:sz w:val="28"/>
          <w:szCs w:val="28"/>
          <w:lang w:val="en-US" w:eastAsia="zh-CN"/>
        </w:rPr>
        <w:t>6</w:t>
      </w:r>
      <w:r>
        <w:rPr>
          <w:rFonts w:hint="eastAsia" w:ascii="宋体" w:hAnsi="宋体" w:cs="宋体"/>
          <w:b/>
          <w:bCs/>
          <w:sz w:val="28"/>
          <w:szCs w:val="28"/>
        </w:rPr>
        <w:t>年</w:t>
      </w:r>
      <w:r>
        <w:rPr>
          <w:rFonts w:hint="eastAsia" w:ascii="宋体" w:hAnsi="宋体" w:cs="宋体"/>
          <w:b/>
          <w:bCs/>
          <w:sz w:val="28"/>
          <w:szCs w:val="28"/>
          <w:lang w:val="en-US" w:eastAsia="zh-CN"/>
        </w:rPr>
        <w:t>9</w:t>
      </w:r>
      <w:r>
        <w:rPr>
          <w:rFonts w:hint="eastAsia" w:ascii="宋体" w:hAnsi="宋体" w:cs="宋体"/>
          <w:b/>
          <w:bCs/>
          <w:sz w:val="28"/>
          <w:szCs w:val="28"/>
        </w:rPr>
        <w:t>月</w:t>
      </w:r>
      <w:r>
        <w:rPr>
          <w:rFonts w:hint="eastAsia" w:ascii="宋体" w:hAnsi="宋体" w:cs="宋体"/>
          <w:b/>
          <w:bCs/>
          <w:sz w:val="28"/>
          <w:szCs w:val="28"/>
          <w:lang w:val="en-US" w:eastAsia="zh-CN"/>
        </w:rPr>
        <w:t>8</w:t>
      </w:r>
      <w:r>
        <w:rPr>
          <w:rFonts w:hint="eastAsia" w:ascii="宋体" w:hAnsi="宋体" w:cs="宋体"/>
          <w:b/>
          <w:bCs/>
          <w:sz w:val="28"/>
          <w:szCs w:val="28"/>
        </w:rPr>
        <w:t>日</w:t>
      </w:r>
      <w:r>
        <w:rPr>
          <w:rFonts w:hint="eastAsia" w:ascii="宋体" w:hAnsi="宋体" w:cs="宋体"/>
          <w:b/>
          <w:bCs/>
          <w:sz w:val="28"/>
          <w:szCs w:val="28"/>
          <w:lang w:eastAsia="zh-CN"/>
        </w:rPr>
        <w:t>上午</w:t>
      </w:r>
      <w:r>
        <w:rPr>
          <w:rFonts w:hint="eastAsia" w:ascii="宋体" w:hAnsi="宋体" w:cs="宋体"/>
          <w:b/>
          <w:bCs/>
          <w:sz w:val="28"/>
          <w:szCs w:val="28"/>
          <w:lang w:val="en-US" w:eastAsia="zh-CN"/>
        </w:rPr>
        <w:t>10点</w:t>
      </w:r>
      <w:r>
        <w:rPr>
          <w:rFonts w:hint="eastAsia" w:ascii="宋体" w:hAnsi="宋体" w:cs="宋体"/>
          <w:b/>
          <w:bCs/>
          <w:sz w:val="28"/>
          <w:szCs w:val="28"/>
        </w:rPr>
        <w:t>前携带标书密封后送至高区迪尚集团23层办公室，现场开标。</w:t>
      </w:r>
      <w:r>
        <w:rPr>
          <w:rFonts w:hint="eastAsia" w:ascii="宋体" w:hAnsi="宋体" w:cs="宋体"/>
          <w:sz w:val="28"/>
          <w:szCs w:val="28"/>
        </w:rPr>
        <w:t>投标人应准备投标文件（胶装）</w:t>
      </w:r>
      <w:bookmarkStart w:id="18" w:name="_GoBack"/>
      <w:bookmarkEnd w:id="18"/>
      <w:r>
        <w:rPr>
          <w:rFonts w:hint="eastAsia" w:ascii="宋体" w:hAnsi="宋体" w:cs="宋体"/>
          <w:sz w:val="28"/>
          <w:szCs w:val="28"/>
        </w:rPr>
        <w:t>一份正本、贰份副本及电子版标书（U盘），每一份投标文件上要明确注明“正本”或“副本”字样，一旦正本和副本有差异，以正本为准。</w:t>
      </w:r>
    </w:p>
    <w:p w14:paraId="26509125">
      <w:pPr>
        <w:spacing w:line="360" w:lineRule="auto"/>
        <w:ind w:firstLine="658" w:firstLineChars="235"/>
        <w:rPr>
          <w:rFonts w:ascii="宋体" w:hAnsi="宋体" w:cs="宋体"/>
          <w:sz w:val="28"/>
          <w:szCs w:val="28"/>
        </w:rPr>
      </w:pPr>
      <w:r>
        <w:rPr>
          <w:rFonts w:hint="eastAsia" w:ascii="宋体" w:hAnsi="宋体" w:cs="宋体"/>
          <w:sz w:val="28"/>
          <w:szCs w:val="28"/>
        </w:rPr>
        <w:t>5、投标单位对清单有疑问的在开标前3日提出，甲方就提出的问题统一答疑。</w:t>
      </w:r>
    </w:p>
    <w:p w14:paraId="16C51E07">
      <w:pPr>
        <w:pStyle w:val="2"/>
        <w:spacing w:before="0" w:after="0" w:line="360" w:lineRule="auto"/>
        <w:ind w:firstLine="562" w:firstLineChars="200"/>
        <w:rPr>
          <w:rFonts w:ascii="宋体" w:hAnsi="宋体" w:cs="宋体"/>
          <w:sz w:val="28"/>
          <w:szCs w:val="28"/>
        </w:rPr>
      </w:pPr>
      <w:bookmarkStart w:id="16" w:name="_Toc381990010"/>
      <w:r>
        <w:rPr>
          <w:rFonts w:hint="eastAsia" w:ascii="宋体" w:hAnsi="宋体" w:cs="宋体"/>
          <w:sz w:val="28"/>
          <w:szCs w:val="28"/>
        </w:rPr>
        <w:t>十五、其他：</w:t>
      </w:r>
      <w:bookmarkEnd w:id="16"/>
    </w:p>
    <w:p w14:paraId="2F6319B4">
      <w:pPr>
        <w:spacing w:line="360" w:lineRule="auto"/>
        <w:ind w:firstLine="560" w:firstLineChars="200"/>
        <w:rPr>
          <w:rFonts w:ascii="宋体" w:hAnsi="宋体" w:cs="宋体"/>
          <w:sz w:val="28"/>
          <w:szCs w:val="28"/>
        </w:rPr>
      </w:pPr>
      <w:r>
        <w:rPr>
          <w:rFonts w:hint="eastAsia" w:ascii="宋体" w:hAnsi="宋体" w:cs="宋体"/>
          <w:sz w:val="28"/>
          <w:szCs w:val="28"/>
        </w:rPr>
        <w:t>招标联系人：柏翰林           电话：</w:t>
      </w:r>
      <w:r>
        <w:rPr>
          <w:rFonts w:hint="eastAsia" w:ascii="宋体" w:hAnsi="宋体" w:cs="宋体"/>
          <w:sz w:val="28"/>
          <w:szCs w:val="28"/>
          <w:lang w:val="en-US" w:eastAsia="zh-CN"/>
        </w:rPr>
        <w:t>15606300056</w:t>
      </w:r>
      <w:r>
        <w:rPr>
          <w:rFonts w:hint="eastAsia" w:ascii="宋体" w:hAnsi="宋体" w:cs="宋体"/>
          <w:sz w:val="28"/>
          <w:szCs w:val="28"/>
        </w:rPr>
        <w:t xml:space="preserve">   </w:t>
      </w:r>
    </w:p>
    <w:p w14:paraId="7AD65CE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rPr>
        <w:t>工程联系人：原明刚           电话：18606300085</w:t>
      </w:r>
    </w:p>
    <w:p w14:paraId="7E88AE81">
      <w:pPr>
        <w:spacing w:after="120" w:line="360" w:lineRule="auto"/>
        <w:ind w:firstLine="562" w:firstLineChars="200"/>
        <w:jc w:val="left"/>
        <w:rPr>
          <w:rFonts w:ascii="宋体" w:hAnsi="宋体" w:cs="宋体"/>
          <w:b/>
          <w:sz w:val="28"/>
          <w:szCs w:val="28"/>
        </w:rPr>
      </w:pPr>
      <w:r>
        <w:rPr>
          <w:rFonts w:hint="eastAsia" w:ascii="宋体" w:hAnsi="宋体" w:cs="宋体"/>
          <w:b/>
          <w:sz w:val="28"/>
          <w:szCs w:val="28"/>
        </w:rPr>
        <w:t>十六、监督机制</w:t>
      </w:r>
    </w:p>
    <w:p w14:paraId="499B0A64">
      <w:pPr>
        <w:ind w:firstLine="658" w:firstLineChars="235"/>
        <w:rPr>
          <w:rFonts w:ascii="宋体" w:hAnsi="宋体" w:cs="宋体"/>
          <w:bCs/>
          <w:sz w:val="28"/>
          <w:szCs w:val="28"/>
          <w:u w:val="single"/>
        </w:rPr>
      </w:pPr>
      <w:r>
        <w:rPr>
          <w:rFonts w:hint="eastAsia" w:ascii="宋体" w:hAnsi="宋体" w:cs="宋体"/>
          <w:bCs/>
          <w:sz w:val="28"/>
          <w:szCs w:val="28"/>
        </w:rPr>
        <w:t>1、为规范我公司招标制度，达到公平、公正、公开的原则，我公司留有投诉邮箱和投诉电话。各投标报价公司可相互监督，发现任何违规行为，都可向下列地址和电话投诉：</w:t>
      </w:r>
      <w:r>
        <w:fldChar w:fldCharType="begin"/>
      </w:r>
      <w:r>
        <w:instrText xml:space="preserve"> HYPERLINK "mailto:集团董事长邮箱为：ccstar@dishang.com。集团办公室电话：0631-5210592" </w:instrText>
      </w:r>
      <w:r>
        <w:fldChar w:fldCharType="separate"/>
      </w:r>
      <w:r>
        <w:rPr>
          <w:rStyle w:val="8"/>
          <w:rFonts w:hint="eastAsia" w:ascii="宋体" w:hAnsi="宋体" w:cs="宋体"/>
          <w:bCs/>
          <w:color w:val="auto"/>
          <w:sz w:val="28"/>
          <w:szCs w:val="28"/>
        </w:rPr>
        <w:t>集团邮箱为：ccstar@dishang.com。集团办公室电话：0631-5210592</w:t>
      </w:r>
      <w:r>
        <w:rPr>
          <w:rStyle w:val="8"/>
          <w:rFonts w:hint="eastAsia" w:ascii="宋体" w:hAnsi="宋体" w:cs="宋体"/>
          <w:bCs/>
          <w:color w:val="auto"/>
          <w:sz w:val="28"/>
          <w:szCs w:val="28"/>
        </w:rPr>
        <w:fldChar w:fldCharType="end"/>
      </w:r>
      <w:r>
        <w:rPr>
          <w:rFonts w:hint="eastAsia" w:ascii="宋体" w:hAnsi="宋体" w:cs="宋体"/>
          <w:bCs/>
          <w:sz w:val="28"/>
          <w:szCs w:val="28"/>
          <w:u w:val="single"/>
        </w:rPr>
        <w:t>。</w:t>
      </w:r>
    </w:p>
    <w:p w14:paraId="1DC5E62F">
      <w:pPr>
        <w:ind w:firstLine="658" w:firstLineChars="235"/>
        <w:rPr>
          <w:rFonts w:ascii="宋体" w:hAnsi="宋体" w:cs="宋体"/>
          <w:bCs/>
          <w:sz w:val="28"/>
          <w:szCs w:val="28"/>
        </w:rPr>
      </w:pPr>
      <w:r>
        <w:rPr>
          <w:rFonts w:hint="eastAsia" w:ascii="宋体" w:hAnsi="宋体" w:cs="宋体"/>
          <w:bCs/>
          <w:sz w:val="28"/>
          <w:szCs w:val="28"/>
        </w:rPr>
        <w:t>2、各投标公司必须保证，在参与投标过程中，不能给予我公司任何人不当利益及交际应酬。一经查实视为废标，如合同已签订，合同无效。</w:t>
      </w:r>
    </w:p>
    <w:p w14:paraId="5A2712E3">
      <w:pPr>
        <w:ind w:firstLine="658" w:firstLineChars="235"/>
        <w:rPr>
          <w:rFonts w:ascii="宋体" w:hAnsi="宋体" w:cs="宋体"/>
          <w:bCs/>
          <w:sz w:val="28"/>
          <w:szCs w:val="28"/>
        </w:rPr>
      </w:pPr>
      <w:r>
        <w:rPr>
          <w:rFonts w:hint="eastAsia" w:ascii="宋体" w:hAnsi="宋体" w:cs="宋体"/>
          <w:bCs/>
          <w:sz w:val="28"/>
          <w:szCs w:val="28"/>
        </w:rPr>
        <w:t>3、投标单位应当遵守我公司相关制度，对我公司同仁向贵公司提出不合理要求的应立即向我公司反映。</w:t>
      </w:r>
    </w:p>
    <w:p w14:paraId="3C4C5F40">
      <w:pPr>
        <w:ind w:firstLine="661" w:firstLineChars="235"/>
        <w:rPr>
          <w:rFonts w:ascii="宋体" w:hAnsi="宋体" w:cs="宋体"/>
          <w:bCs/>
          <w:sz w:val="28"/>
          <w:szCs w:val="28"/>
        </w:rPr>
      </w:pPr>
      <w:r>
        <w:rPr>
          <w:rFonts w:hint="eastAsia" w:ascii="宋体" w:hAnsi="宋体" w:cs="宋体"/>
          <w:b/>
          <w:sz w:val="28"/>
          <w:szCs w:val="28"/>
        </w:rPr>
        <w:t>4、中标单位需与我公司签订廉洁协议，乙方的（企业法定代表人/合同签订人/实控人）需同时作为本协议的连带保证担保人，与乙方共同承担连带担保责任。</w:t>
      </w:r>
    </w:p>
    <w:p w14:paraId="6026FB21">
      <w:pPr>
        <w:spacing w:line="360" w:lineRule="auto"/>
        <w:rPr>
          <w:rFonts w:ascii="宋体" w:hAnsi="宋体" w:cs="宋体"/>
          <w:sz w:val="28"/>
          <w:szCs w:val="28"/>
        </w:rPr>
      </w:pPr>
    </w:p>
    <w:p w14:paraId="6CBBFDF9">
      <w:pPr>
        <w:spacing w:line="360" w:lineRule="auto"/>
        <w:rPr>
          <w:rFonts w:ascii="宋体" w:hAnsi="宋体" w:cs="宋体"/>
          <w:sz w:val="28"/>
          <w:szCs w:val="28"/>
        </w:rPr>
      </w:pPr>
    </w:p>
    <w:p w14:paraId="0D404884">
      <w:pPr>
        <w:spacing w:line="360" w:lineRule="auto"/>
        <w:rPr>
          <w:rFonts w:ascii="宋体" w:hAnsi="宋体" w:cs="宋体"/>
          <w:sz w:val="28"/>
          <w:szCs w:val="28"/>
        </w:rPr>
      </w:pPr>
    </w:p>
    <w:p w14:paraId="390D54CB">
      <w:pPr>
        <w:spacing w:line="360" w:lineRule="auto"/>
        <w:rPr>
          <w:rFonts w:ascii="宋体" w:hAnsi="宋体" w:cs="宋体"/>
          <w:sz w:val="28"/>
          <w:szCs w:val="28"/>
        </w:rPr>
      </w:pPr>
    </w:p>
    <w:p w14:paraId="73A5C58C">
      <w:pPr>
        <w:spacing w:line="360" w:lineRule="auto"/>
        <w:rPr>
          <w:rFonts w:ascii="宋体" w:hAnsi="宋体" w:cs="宋体"/>
          <w:sz w:val="28"/>
          <w:szCs w:val="28"/>
        </w:rPr>
      </w:pPr>
    </w:p>
    <w:p w14:paraId="7981CB65">
      <w:pPr>
        <w:spacing w:line="360" w:lineRule="auto"/>
        <w:rPr>
          <w:rFonts w:ascii="宋体" w:hAnsi="宋体" w:cs="宋体"/>
          <w:sz w:val="28"/>
          <w:szCs w:val="28"/>
        </w:rPr>
      </w:pPr>
    </w:p>
    <w:p w14:paraId="503D5D96">
      <w:pPr>
        <w:spacing w:line="360" w:lineRule="auto"/>
        <w:rPr>
          <w:rFonts w:ascii="宋体" w:hAnsi="宋体" w:cs="宋体"/>
          <w:sz w:val="28"/>
          <w:szCs w:val="28"/>
        </w:rPr>
      </w:pPr>
    </w:p>
    <w:p w14:paraId="6CC81B3B">
      <w:pPr>
        <w:spacing w:line="360" w:lineRule="auto"/>
        <w:rPr>
          <w:rFonts w:ascii="宋体" w:hAnsi="宋体" w:cs="宋体"/>
          <w:sz w:val="28"/>
          <w:szCs w:val="28"/>
        </w:rPr>
      </w:pPr>
    </w:p>
    <w:p w14:paraId="03A07D9A">
      <w:pPr>
        <w:spacing w:line="360" w:lineRule="auto"/>
        <w:rPr>
          <w:rFonts w:ascii="宋体" w:hAnsi="宋体" w:cs="宋体"/>
          <w:sz w:val="28"/>
          <w:szCs w:val="28"/>
        </w:rPr>
      </w:pPr>
    </w:p>
    <w:p w14:paraId="05173880">
      <w:pPr>
        <w:spacing w:line="360" w:lineRule="auto"/>
        <w:rPr>
          <w:rFonts w:ascii="宋体" w:hAnsi="宋体" w:cs="宋体"/>
          <w:sz w:val="28"/>
          <w:szCs w:val="28"/>
        </w:rPr>
      </w:pPr>
    </w:p>
    <w:p w14:paraId="6305010D">
      <w:pPr>
        <w:spacing w:line="360" w:lineRule="auto"/>
        <w:rPr>
          <w:rFonts w:ascii="宋体" w:hAnsi="宋体" w:cs="宋体"/>
          <w:sz w:val="28"/>
          <w:szCs w:val="28"/>
        </w:rPr>
      </w:pPr>
    </w:p>
    <w:p w14:paraId="103AA970">
      <w:pPr>
        <w:spacing w:line="360" w:lineRule="auto"/>
        <w:rPr>
          <w:rFonts w:ascii="宋体" w:hAnsi="宋体" w:cs="宋体"/>
          <w:sz w:val="28"/>
          <w:szCs w:val="28"/>
        </w:rPr>
      </w:pPr>
    </w:p>
    <w:p w14:paraId="799FECD5">
      <w:pPr>
        <w:spacing w:line="360" w:lineRule="auto"/>
        <w:rPr>
          <w:rFonts w:ascii="宋体" w:hAnsi="宋体" w:cs="宋体"/>
          <w:sz w:val="28"/>
          <w:szCs w:val="28"/>
        </w:rPr>
      </w:pPr>
    </w:p>
    <w:p w14:paraId="18B98398">
      <w:pPr>
        <w:spacing w:line="360" w:lineRule="auto"/>
        <w:rPr>
          <w:rFonts w:ascii="宋体" w:hAnsi="宋体" w:cs="宋体"/>
          <w:sz w:val="28"/>
          <w:szCs w:val="28"/>
        </w:rPr>
      </w:pPr>
    </w:p>
    <w:p w14:paraId="1A668958">
      <w:pPr>
        <w:spacing w:line="360" w:lineRule="auto"/>
        <w:rPr>
          <w:rFonts w:ascii="宋体" w:hAnsi="宋体" w:cs="宋体"/>
          <w:sz w:val="28"/>
          <w:szCs w:val="28"/>
        </w:rPr>
      </w:pPr>
    </w:p>
    <w:p w14:paraId="4C417546">
      <w:pPr>
        <w:spacing w:line="360" w:lineRule="auto"/>
        <w:rPr>
          <w:rFonts w:ascii="宋体" w:hAnsi="宋体" w:cs="宋体"/>
          <w:sz w:val="28"/>
          <w:szCs w:val="28"/>
        </w:rPr>
      </w:pPr>
    </w:p>
    <w:p w14:paraId="0CD02997">
      <w:pPr>
        <w:spacing w:line="360" w:lineRule="auto"/>
        <w:rPr>
          <w:rFonts w:ascii="宋体" w:hAnsi="宋体" w:cs="宋体"/>
          <w:sz w:val="28"/>
          <w:szCs w:val="28"/>
        </w:rPr>
      </w:pPr>
    </w:p>
    <w:p w14:paraId="2C4BF3E3">
      <w:pPr>
        <w:spacing w:line="360" w:lineRule="auto"/>
        <w:rPr>
          <w:rFonts w:ascii="宋体" w:hAnsi="宋体" w:cs="宋体"/>
          <w:sz w:val="28"/>
          <w:szCs w:val="28"/>
        </w:rPr>
      </w:pPr>
    </w:p>
    <w:p w14:paraId="7A9976B6">
      <w:pPr>
        <w:tabs>
          <w:tab w:val="left" w:pos="8008"/>
        </w:tabs>
        <w:spacing w:line="360" w:lineRule="auto"/>
        <w:rPr>
          <w:rFonts w:ascii="宋体" w:hAnsi="宋体" w:cs="宋体"/>
          <w:sz w:val="28"/>
          <w:szCs w:val="28"/>
        </w:rPr>
      </w:pPr>
    </w:p>
    <w:p w14:paraId="171137EF">
      <w:pPr>
        <w:numPr>
          <w:ilvl w:val="0"/>
          <w:numId w:val="2"/>
        </w:numPr>
        <w:tabs>
          <w:tab w:val="left" w:pos="8008"/>
        </w:tabs>
        <w:ind w:left="0"/>
        <w:jc w:val="center"/>
        <w:rPr>
          <w:rFonts w:hint="eastAsia" w:ascii="宋体" w:hAnsi="宋体"/>
          <w:b/>
          <w:bCs/>
          <w:sz w:val="32"/>
          <w:szCs w:val="32"/>
        </w:rPr>
      </w:pPr>
      <w:r>
        <w:rPr>
          <w:rFonts w:hint="eastAsia" w:ascii="宋体" w:hAnsi="宋体"/>
          <w:b/>
          <w:bCs/>
          <w:sz w:val="32"/>
          <w:szCs w:val="32"/>
        </w:rPr>
        <w:t>法定代表人资格证明书</w:t>
      </w:r>
    </w:p>
    <w:p w14:paraId="64798D87">
      <w:pPr>
        <w:tabs>
          <w:tab w:val="left" w:pos="8008"/>
        </w:tabs>
        <w:spacing w:line="360" w:lineRule="auto"/>
        <w:ind w:left="3029"/>
        <w:rPr>
          <w:rFonts w:hint="eastAsia" w:ascii="宋体" w:hAnsi="宋体"/>
          <w:b/>
          <w:bCs/>
          <w:sz w:val="32"/>
          <w:szCs w:val="32"/>
        </w:rPr>
      </w:pPr>
    </w:p>
    <w:p w14:paraId="75B4618C">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单位名称：</w:t>
      </w:r>
      <w:r>
        <w:rPr>
          <w:rFonts w:ascii="宋体" w:hAnsi="宋体"/>
          <w:sz w:val="28"/>
          <w:szCs w:val="28"/>
          <w:u w:val="single"/>
        </w:rPr>
        <w:t xml:space="preserve">                                             </w:t>
      </w:r>
    </w:p>
    <w:p w14:paraId="4D37CF8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地</w:t>
      </w:r>
      <w:r>
        <w:rPr>
          <w:rFonts w:ascii="宋体" w:hAnsi="宋体"/>
          <w:sz w:val="28"/>
          <w:szCs w:val="28"/>
        </w:rPr>
        <w:t xml:space="preserve">    </w:t>
      </w:r>
      <w:r>
        <w:rPr>
          <w:rFonts w:hint="eastAsia" w:ascii="宋体" w:hAnsi="宋体"/>
          <w:sz w:val="28"/>
          <w:szCs w:val="28"/>
        </w:rPr>
        <w:t>址：</w:t>
      </w:r>
      <w:r>
        <w:rPr>
          <w:rFonts w:ascii="宋体" w:hAnsi="宋体"/>
          <w:sz w:val="28"/>
          <w:szCs w:val="28"/>
          <w:u w:val="single"/>
        </w:rPr>
        <w:t xml:space="preserve">                                                  </w:t>
      </w:r>
    </w:p>
    <w:p w14:paraId="221C4D37">
      <w:pPr>
        <w:tabs>
          <w:tab w:val="left" w:pos="8008"/>
        </w:tabs>
        <w:spacing w:line="360" w:lineRule="auto"/>
        <w:ind w:firstLine="560" w:firstLineChars="200"/>
        <w:rPr>
          <w:rFonts w:ascii="宋体" w:hAnsi="宋体"/>
          <w:sz w:val="28"/>
          <w:szCs w:val="28"/>
        </w:rPr>
      </w:pPr>
      <w:r>
        <w:rPr>
          <w:rFonts w:hint="eastAsia" w:ascii="宋体" w:hAnsi="宋体"/>
          <w:sz w:val="28"/>
          <w:szCs w:val="28"/>
        </w:rPr>
        <w:t>姓</w:t>
      </w:r>
      <w:r>
        <w:rPr>
          <w:rFonts w:ascii="宋体" w:hAnsi="宋体"/>
          <w:sz w:val="28"/>
          <w:szCs w:val="28"/>
        </w:rPr>
        <w:t xml:space="preserve">    </w:t>
      </w:r>
      <w:r>
        <w:rPr>
          <w:rFonts w:hint="eastAsia" w:ascii="宋体" w:hAnsi="宋体"/>
          <w:sz w:val="28"/>
          <w:szCs w:val="28"/>
        </w:rPr>
        <w:t>名：</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w:t>
      </w:r>
      <w:r>
        <w:rPr>
          <w:rFonts w:ascii="宋体" w:hAnsi="宋体"/>
          <w:sz w:val="28"/>
          <w:szCs w:val="28"/>
        </w:rPr>
        <w:t xml:space="preserve"> </w:t>
      </w:r>
      <w:r>
        <w:rPr>
          <w:rFonts w:hint="eastAsia" w:ascii="宋体" w:hAnsi="宋体"/>
          <w:sz w:val="28"/>
          <w:szCs w:val="28"/>
        </w:rPr>
        <w:t>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w:t>
      </w:r>
      <w:r>
        <w:rPr>
          <w:rFonts w:ascii="宋体" w:hAnsi="宋体"/>
          <w:sz w:val="28"/>
          <w:szCs w:val="28"/>
        </w:rPr>
        <w:t xml:space="preserve"> </w:t>
      </w:r>
      <w:r>
        <w:rPr>
          <w:rFonts w:hint="eastAsia" w:ascii="宋体" w:hAnsi="宋体"/>
          <w:sz w:val="28"/>
          <w:szCs w:val="28"/>
        </w:rPr>
        <w:t>龄：</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w:t>
      </w:r>
      <w:r>
        <w:rPr>
          <w:rFonts w:ascii="宋体" w:hAnsi="宋体"/>
          <w:sz w:val="28"/>
          <w:szCs w:val="28"/>
        </w:rPr>
        <w:t xml:space="preserve"> </w:t>
      </w:r>
      <w:r>
        <w:rPr>
          <w:rFonts w:hint="eastAsia" w:ascii="宋体" w:hAnsi="宋体"/>
          <w:sz w:val="28"/>
          <w:szCs w:val="28"/>
        </w:rPr>
        <w:t>务：</w:t>
      </w:r>
      <w:r>
        <w:rPr>
          <w:rFonts w:ascii="宋体" w:hAnsi="宋体"/>
          <w:sz w:val="28"/>
          <w:szCs w:val="28"/>
          <w:u w:val="single"/>
        </w:rPr>
        <w:t xml:space="preserve">       </w:t>
      </w:r>
      <w:r>
        <w:rPr>
          <w:rFonts w:hint="eastAsia" w:ascii="宋体" w:hAnsi="宋体"/>
          <w:sz w:val="28"/>
          <w:szCs w:val="28"/>
        </w:rPr>
        <w:t>，系</w:t>
      </w:r>
      <w:r>
        <w:rPr>
          <w:rFonts w:ascii="宋体" w:hAnsi="宋体"/>
          <w:sz w:val="28"/>
          <w:szCs w:val="28"/>
          <w:u w:val="single"/>
        </w:rPr>
        <w:t xml:space="preserve">        </w:t>
      </w:r>
      <w:r>
        <w:rPr>
          <w:rFonts w:hint="eastAsia" w:ascii="宋体" w:hAnsi="宋体"/>
          <w:sz w:val="28"/>
          <w:szCs w:val="28"/>
        </w:rPr>
        <w:t>（投标人名称）的法定代表人。在本项目的投标中，签署本项目的投标文件、进行合同谈判、签署合同和处理与之有关的一切事务。</w:t>
      </w:r>
    </w:p>
    <w:p w14:paraId="5E9CA77B">
      <w:pPr>
        <w:tabs>
          <w:tab w:val="left" w:pos="8008"/>
        </w:tabs>
        <w:spacing w:line="360" w:lineRule="auto"/>
        <w:ind w:firstLine="560" w:firstLineChars="200"/>
        <w:rPr>
          <w:rFonts w:ascii="宋体" w:hAnsi="宋体"/>
          <w:sz w:val="28"/>
          <w:szCs w:val="28"/>
        </w:rPr>
      </w:pPr>
      <w:r>
        <w:rPr>
          <w:rFonts w:hint="eastAsia" w:ascii="宋体" w:hAnsi="宋体"/>
          <w:sz w:val="28"/>
          <w:szCs w:val="28"/>
        </w:rPr>
        <w:t>特此证明！</w:t>
      </w:r>
    </w:p>
    <w:p w14:paraId="26B86C59">
      <w:pPr>
        <w:tabs>
          <w:tab w:val="left" w:pos="8008"/>
        </w:tabs>
        <w:spacing w:line="360" w:lineRule="auto"/>
        <w:ind w:firstLine="560" w:firstLineChars="200"/>
        <w:rPr>
          <w:rFonts w:ascii="宋体" w:hAnsi="宋体"/>
          <w:sz w:val="28"/>
          <w:szCs w:val="28"/>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4C03F010">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日</w:t>
      </w:r>
      <w:r>
        <w:rPr>
          <w:rFonts w:ascii="宋体" w:hAnsi="宋体"/>
          <w:sz w:val="28"/>
          <w:szCs w:val="28"/>
        </w:rPr>
        <w:t xml:space="preserve">  </w:t>
      </w:r>
      <w:r>
        <w:rPr>
          <w:rFonts w:hint="eastAsia" w:ascii="宋体" w:hAnsi="宋体"/>
          <w:sz w:val="28"/>
          <w:szCs w:val="28"/>
        </w:rPr>
        <w:t>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1AF59A61">
      <w:pPr>
        <w:tabs>
          <w:tab w:val="left" w:pos="8008"/>
        </w:tabs>
        <w:spacing w:after="100" w:afterAutospacing="1" w:line="360" w:lineRule="auto"/>
        <w:jc w:val="center"/>
        <w:rPr>
          <w:rFonts w:ascii="宋体" w:hAnsi="宋体"/>
          <w:b/>
          <w:bCs/>
          <w:sz w:val="32"/>
          <w:szCs w:val="32"/>
        </w:rPr>
      </w:pPr>
      <w:r>
        <w:rPr>
          <w:rFonts w:hint="eastAsia" w:ascii="宋体" w:hAnsi="宋体"/>
          <w:b/>
          <w:bCs/>
          <w:sz w:val="32"/>
          <w:szCs w:val="32"/>
        </w:rPr>
        <w:br w:type="page"/>
      </w:r>
      <w:r>
        <w:rPr>
          <w:rFonts w:hint="eastAsia" w:ascii="宋体" w:hAnsi="宋体"/>
          <w:b/>
          <w:bCs/>
          <w:sz w:val="32"/>
          <w:szCs w:val="32"/>
        </w:rPr>
        <w:t>二、授权委托书</w:t>
      </w:r>
    </w:p>
    <w:p w14:paraId="2469A65E">
      <w:pPr>
        <w:tabs>
          <w:tab w:val="left" w:pos="8008"/>
        </w:tabs>
        <w:spacing w:line="360" w:lineRule="auto"/>
        <w:ind w:firstLine="560" w:firstLineChars="200"/>
        <w:rPr>
          <w:rFonts w:ascii="宋体" w:hAnsi="宋体"/>
          <w:sz w:val="28"/>
          <w:szCs w:val="28"/>
        </w:rPr>
      </w:pPr>
      <w:r>
        <w:rPr>
          <w:rFonts w:hint="eastAsia" w:ascii="宋体" w:hAnsi="宋体"/>
          <w:sz w:val="28"/>
          <w:szCs w:val="28"/>
        </w:rPr>
        <w:t>本授权委托书声明：我</w:t>
      </w:r>
      <w:r>
        <w:rPr>
          <w:rFonts w:ascii="宋体" w:hAnsi="宋体"/>
          <w:sz w:val="28"/>
          <w:szCs w:val="28"/>
          <w:u w:val="single"/>
        </w:rPr>
        <w:t xml:space="preserve">       </w:t>
      </w:r>
      <w:r>
        <w:rPr>
          <w:rFonts w:hint="eastAsia" w:ascii="宋体" w:hAnsi="宋体"/>
          <w:sz w:val="28"/>
          <w:szCs w:val="28"/>
        </w:rPr>
        <w:t>（姓名）系</w:t>
      </w:r>
      <w:r>
        <w:rPr>
          <w:rFonts w:ascii="宋体" w:hAnsi="宋体"/>
          <w:sz w:val="28"/>
          <w:szCs w:val="28"/>
          <w:u w:val="single"/>
        </w:rPr>
        <w:t xml:space="preserve">                    </w:t>
      </w:r>
      <w:r>
        <w:rPr>
          <w:rFonts w:hint="eastAsia" w:ascii="宋体" w:hAnsi="宋体"/>
          <w:sz w:val="28"/>
          <w:szCs w:val="28"/>
        </w:rPr>
        <w:t>（投标人名称）的法定代表人，现授权委托</w:t>
      </w:r>
      <w:r>
        <w:rPr>
          <w:rFonts w:ascii="宋体" w:hAnsi="宋体"/>
          <w:sz w:val="28"/>
          <w:szCs w:val="28"/>
          <w:u w:val="single"/>
        </w:rPr>
        <w:t xml:space="preserve">               </w:t>
      </w:r>
      <w:r>
        <w:rPr>
          <w:rFonts w:hint="eastAsia" w:ascii="宋体" w:hAnsi="宋体"/>
          <w:sz w:val="28"/>
          <w:szCs w:val="28"/>
        </w:rPr>
        <w:t>（单位名称）的</w:t>
      </w:r>
      <w:r>
        <w:rPr>
          <w:rFonts w:ascii="宋体" w:hAnsi="宋体"/>
          <w:sz w:val="28"/>
          <w:szCs w:val="28"/>
          <w:u w:val="single"/>
        </w:rPr>
        <w:t xml:space="preserve">             </w:t>
      </w:r>
      <w:r>
        <w:rPr>
          <w:rFonts w:hint="eastAsia" w:ascii="宋体" w:hAnsi="宋体"/>
          <w:sz w:val="28"/>
          <w:szCs w:val="28"/>
        </w:rPr>
        <w:t>（姓名）为我公司就本项目投标委托代理人，代理人全权代表我所签署的与本项目相关的内容我均承认。</w:t>
      </w:r>
    </w:p>
    <w:p w14:paraId="490FA20E">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代理人无转委托权，特此委托！</w:t>
      </w:r>
    </w:p>
    <w:p w14:paraId="49C67384">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年龄：</w:t>
      </w:r>
      <w:r>
        <w:rPr>
          <w:rFonts w:ascii="宋体" w:hAnsi="宋体"/>
          <w:sz w:val="28"/>
          <w:szCs w:val="28"/>
          <w:u w:val="single"/>
        </w:rPr>
        <w:t xml:space="preserve">      </w:t>
      </w:r>
    </w:p>
    <w:p w14:paraId="175C9DB5">
      <w:pPr>
        <w:tabs>
          <w:tab w:val="left" w:pos="8008"/>
        </w:tabs>
        <w:spacing w:line="360" w:lineRule="auto"/>
        <w:ind w:firstLine="560" w:firstLineChars="200"/>
        <w:rPr>
          <w:rFonts w:ascii="宋体" w:hAnsi="宋体"/>
          <w:sz w:val="28"/>
          <w:szCs w:val="28"/>
        </w:rPr>
      </w:pPr>
      <w:r>
        <w:rPr>
          <w:rFonts w:hint="eastAsia" w:ascii="宋体" w:hAnsi="宋体"/>
          <w:sz w:val="28"/>
          <w:szCs w:val="28"/>
        </w:rPr>
        <w:t>身份证号码：</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职务：</w:t>
      </w:r>
      <w:r>
        <w:rPr>
          <w:rFonts w:ascii="宋体" w:hAnsi="宋体"/>
          <w:sz w:val="28"/>
          <w:szCs w:val="28"/>
          <w:u w:val="single"/>
        </w:rPr>
        <w:t xml:space="preserve">            </w:t>
      </w:r>
    </w:p>
    <w:p w14:paraId="6A04D86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55CCA38D">
      <w:pPr>
        <w:tabs>
          <w:tab w:val="left" w:pos="8008"/>
        </w:tabs>
        <w:spacing w:line="360" w:lineRule="auto"/>
        <w:ind w:firstLine="560" w:firstLineChars="200"/>
        <w:rPr>
          <w:rFonts w:ascii="宋体" w:hAnsi="宋体"/>
          <w:sz w:val="28"/>
          <w:szCs w:val="28"/>
        </w:rPr>
      </w:pPr>
      <w:r>
        <w:rPr>
          <w:rFonts w:hint="eastAsia" w:ascii="宋体" w:hAnsi="宋体"/>
          <w:sz w:val="28"/>
          <w:szCs w:val="28"/>
        </w:rPr>
        <w:t>法定代表人：</w:t>
      </w:r>
      <w:r>
        <w:rPr>
          <w:rFonts w:ascii="宋体" w:hAnsi="宋体"/>
          <w:sz w:val="28"/>
          <w:szCs w:val="28"/>
          <w:u w:val="single"/>
        </w:rPr>
        <w:t xml:space="preserve">               </w:t>
      </w:r>
      <w:r>
        <w:rPr>
          <w:rFonts w:hint="eastAsia" w:ascii="宋体" w:hAnsi="宋体"/>
          <w:sz w:val="28"/>
          <w:szCs w:val="28"/>
        </w:rPr>
        <w:t>（签字或盖章）</w:t>
      </w:r>
    </w:p>
    <w:p w14:paraId="48F660B8">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授权委托日期：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4D55297B">
      <w:pPr>
        <w:tabs>
          <w:tab w:val="left" w:pos="8008"/>
        </w:tabs>
        <w:spacing w:line="360" w:lineRule="auto"/>
        <w:jc w:val="center"/>
        <w:rPr>
          <w:rFonts w:hint="eastAsia"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三、投 标 书</w:t>
      </w:r>
    </w:p>
    <w:p w14:paraId="427675C2">
      <w:pPr>
        <w:spacing w:line="360" w:lineRule="auto"/>
        <w:rPr>
          <w:rFonts w:hint="eastAsia" w:ascii="宋体" w:hAnsi="宋体" w:cs="宋体"/>
          <w:sz w:val="28"/>
          <w:szCs w:val="28"/>
          <w:lang w:val="zh-CN"/>
        </w:rPr>
      </w:pPr>
      <w:r>
        <w:rPr>
          <w:rFonts w:hint="eastAsia" w:ascii="宋体" w:hAnsi="宋体" w:cs="宋体"/>
          <w:sz w:val="28"/>
          <w:szCs w:val="28"/>
          <w:lang w:val="zh-CN"/>
        </w:rPr>
        <w:t>迪尚（山东）康养发展有限公司：</w:t>
      </w:r>
    </w:p>
    <w:p w14:paraId="2A31BE1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根据已收到</w:t>
      </w:r>
      <w:r>
        <w:rPr>
          <w:rFonts w:hint="eastAsia" w:ascii="宋体" w:hAnsi="宋体" w:cs="宋体"/>
          <w:sz w:val="28"/>
          <w:szCs w:val="28"/>
          <w:u w:val="single"/>
          <w:lang w:val="zh-CN"/>
        </w:rPr>
        <w:t xml:space="preserve">                  </w:t>
      </w:r>
      <w:r>
        <w:rPr>
          <w:rFonts w:hint="eastAsia" w:ascii="宋体" w:hAnsi="宋体" w:cs="宋体"/>
          <w:sz w:val="28"/>
          <w:szCs w:val="28"/>
          <w:lang w:val="zh-CN"/>
        </w:rPr>
        <w:t>项目的招标文件，遵照《中华人民共和国招标投标法》、《山东省实施〈中华人民共和国招标投标法〉办法》等有关规定，我单位经考察现场和研究上述招标文件的投标须知、合同条件、技术规范和其他有关文件后，我方愿按上述有关文件的条件要求，承包上述产品的制作及安装，并参加投标。</w:t>
      </w:r>
      <w:r>
        <w:rPr>
          <w:rFonts w:hint="eastAsia" w:ascii="宋体" w:hAnsi="宋体" w:cs="宋体"/>
          <w:b/>
          <w:bCs/>
          <w:sz w:val="28"/>
          <w:szCs w:val="28"/>
          <w:lang w:val="zh-CN"/>
        </w:rPr>
        <w:t>我</w:t>
      </w:r>
      <w:r>
        <w:rPr>
          <w:rFonts w:hint="eastAsia" w:ascii="宋体" w:hAnsi="宋体" w:cs="宋体"/>
          <w:b/>
          <w:bCs/>
          <w:sz w:val="28"/>
          <w:szCs w:val="28"/>
        </w:rPr>
        <w:t>单位已详细、认真阅读招标文件，对招标文件及各项要求清楚无异议，遵从招标方规定，因错报、漏报、样品不符或不按招标方要求等行为造成扣分、废标等一切后果，责任自负。</w:t>
      </w:r>
    </w:p>
    <w:p w14:paraId="18FCBB27">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为此：</w:t>
      </w:r>
    </w:p>
    <w:p w14:paraId="43C61ED2">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1、提供投标须知规定的全部投标文件。</w:t>
      </w:r>
    </w:p>
    <w:p w14:paraId="46000AF1">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2、</w:t>
      </w:r>
      <w:r>
        <w:rPr>
          <w:rFonts w:hint="eastAsia" w:ascii="宋体" w:hAnsi="宋体" w:cs="宋体"/>
          <w:b/>
          <w:bCs/>
          <w:sz w:val="28"/>
          <w:szCs w:val="28"/>
          <w:lang w:val="zh-CN"/>
        </w:rPr>
        <w:t>含税投标总报价：</w:t>
      </w:r>
      <w:r>
        <w:rPr>
          <w:rFonts w:hint="eastAsia" w:ascii="宋体" w:hAnsi="宋体" w:cs="宋体"/>
          <w:b/>
          <w:bCs/>
          <w:sz w:val="28"/>
          <w:szCs w:val="28"/>
          <w:u w:val="single"/>
          <w:lang w:val="zh-CN"/>
        </w:rPr>
        <w:t>投标人可选择报现金价或抵顶价</w:t>
      </w:r>
      <w:r>
        <w:rPr>
          <w:rFonts w:hint="eastAsia" w:ascii="宋体" w:hAnsi="宋体" w:cs="宋体"/>
          <w:b/>
          <w:w w:val="80"/>
          <w:sz w:val="28"/>
          <w:szCs w:val="28"/>
        </w:rPr>
        <w:t xml:space="preserve"> </w:t>
      </w:r>
    </w:p>
    <w:p w14:paraId="7BEB888C">
      <w:pPr>
        <w:snapToGrid w:val="0"/>
        <w:spacing w:line="360" w:lineRule="auto"/>
        <w:rPr>
          <w:rFonts w:hint="eastAsia" w:ascii="宋体" w:hAnsi="宋体" w:cs="宋体"/>
          <w:b/>
          <w:w w:val="80"/>
          <w:sz w:val="28"/>
          <w:szCs w:val="28"/>
        </w:rPr>
      </w:pPr>
      <w:r>
        <w:rPr>
          <w:rFonts w:hint="eastAsia" w:ascii="宋体" w:hAnsi="宋体" w:cs="宋体"/>
          <w:b/>
          <w:w w:val="80"/>
          <w:sz w:val="28"/>
          <w:szCs w:val="28"/>
        </w:rPr>
        <w:t>现金含税总报价人民币（大写）：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5D09D580">
      <w:pPr>
        <w:snapToGrid w:val="0"/>
        <w:spacing w:line="360" w:lineRule="auto"/>
        <w:rPr>
          <w:rFonts w:hint="eastAsia" w:ascii="宋体" w:hAnsi="宋体" w:cs="宋体"/>
          <w:b/>
          <w:w w:val="80"/>
          <w:sz w:val="28"/>
          <w:szCs w:val="28"/>
        </w:rPr>
      </w:pPr>
      <w:r>
        <w:rPr>
          <w:rFonts w:hint="eastAsia" w:ascii="宋体" w:hAnsi="宋体" w:cs="宋体"/>
          <w:b/>
          <w:w w:val="80"/>
          <w:sz w:val="28"/>
          <w:szCs w:val="28"/>
        </w:rPr>
        <w:t>抵顶含税总报价人民币（大写）：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409C071A">
      <w:pPr>
        <w:snapToGrid w:val="0"/>
        <w:spacing w:line="360" w:lineRule="auto"/>
        <w:rPr>
          <w:rFonts w:hint="eastAsia" w:ascii="宋体" w:hAnsi="宋体" w:cs="宋体"/>
          <w:lang w:val="zh-CN"/>
        </w:rPr>
      </w:pPr>
      <w:bookmarkStart w:id="17" w:name="OLE_LINK6"/>
      <w:r>
        <w:rPr>
          <w:rFonts w:hint="eastAsia" w:ascii="宋体" w:hAnsi="宋体" w:cs="宋体"/>
          <w:b/>
          <w:w w:val="80"/>
          <w:sz w:val="28"/>
          <w:szCs w:val="28"/>
        </w:rPr>
        <w:t>抵顶比例</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w:t>
      </w:r>
      <w:r>
        <w:rPr>
          <w:rFonts w:hint="eastAsia" w:ascii="宋体" w:hAnsi="宋体" w:cs="宋体"/>
          <w:b/>
          <w:w w:val="80"/>
          <w:sz w:val="28"/>
          <w:szCs w:val="28"/>
          <w:lang w:val="zh-CN"/>
        </w:rPr>
        <w:t>若报</w:t>
      </w:r>
      <w:r>
        <w:rPr>
          <w:rFonts w:hint="eastAsia" w:ascii="宋体" w:hAnsi="宋体" w:cs="宋体"/>
          <w:b/>
          <w:w w:val="80"/>
          <w:sz w:val="28"/>
          <w:szCs w:val="28"/>
        </w:rPr>
        <w:t>抵顶</w:t>
      </w:r>
      <w:r>
        <w:rPr>
          <w:rFonts w:hint="eastAsia" w:ascii="宋体" w:hAnsi="宋体" w:cs="宋体"/>
          <w:b/>
          <w:w w:val="80"/>
          <w:sz w:val="28"/>
          <w:szCs w:val="28"/>
          <w:lang w:val="zh-CN"/>
        </w:rPr>
        <w:t>则</w:t>
      </w:r>
      <w:r>
        <w:rPr>
          <w:rFonts w:hint="eastAsia" w:ascii="宋体" w:hAnsi="宋体" w:cs="宋体"/>
          <w:b/>
          <w:w w:val="80"/>
          <w:sz w:val="28"/>
          <w:szCs w:val="28"/>
        </w:rPr>
        <w:t>比例不低于20%，详见评分标准）</w:t>
      </w:r>
    </w:p>
    <w:p w14:paraId="1F032B5A">
      <w:pPr>
        <w:snapToGrid w:val="0"/>
        <w:spacing w:line="360" w:lineRule="auto"/>
        <w:rPr>
          <w:rFonts w:hint="eastAsia" w:ascii="宋体" w:hAnsi="宋体" w:cs="宋体"/>
          <w:b/>
          <w:w w:val="80"/>
          <w:sz w:val="28"/>
          <w:szCs w:val="28"/>
        </w:rPr>
      </w:pPr>
      <w:r>
        <w:rPr>
          <w:rFonts w:hint="eastAsia" w:ascii="宋体" w:hAnsi="宋体" w:cs="宋体"/>
          <w:b/>
          <w:w w:val="80"/>
          <w:sz w:val="28"/>
          <w:szCs w:val="28"/>
        </w:rPr>
        <w:t>税率：</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工期：</w:t>
      </w:r>
      <w:r>
        <w:rPr>
          <w:rFonts w:hint="eastAsia" w:ascii="宋体" w:hAnsi="宋体" w:cs="宋体"/>
          <w:b/>
          <w:w w:val="80"/>
          <w:sz w:val="28"/>
          <w:szCs w:val="28"/>
          <w:u w:val="single"/>
        </w:rPr>
        <w:t xml:space="preserve">      </w:t>
      </w:r>
    </w:p>
    <w:bookmarkEnd w:id="17"/>
    <w:p w14:paraId="30D04D6C">
      <w:pPr>
        <w:spacing w:line="360" w:lineRule="auto"/>
        <w:rPr>
          <w:rFonts w:hint="eastAsia" w:ascii="宋体" w:hAnsi="宋体" w:cs="宋体"/>
          <w:sz w:val="28"/>
          <w:szCs w:val="28"/>
          <w:lang w:val="zh-CN"/>
        </w:rPr>
      </w:pPr>
      <w:r>
        <w:rPr>
          <w:rFonts w:hint="eastAsia" w:ascii="宋体" w:hAnsi="宋体" w:cs="宋体"/>
          <w:b/>
          <w:w w:val="80"/>
          <w:sz w:val="28"/>
          <w:szCs w:val="28"/>
          <w:lang w:val="zh-CN"/>
        </w:rPr>
        <w:t>付款方式</w:t>
      </w:r>
      <w:r>
        <w:rPr>
          <w:rFonts w:hint="eastAsia" w:ascii="宋体" w:hAnsi="宋体" w:eastAsia="宋体" w:cs="宋体"/>
          <w:b/>
          <w:color w:val="auto"/>
          <w:w w:val="80"/>
          <w:sz w:val="28"/>
          <w:szCs w:val="28"/>
          <w:lang w:val="zh-CN"/>
        </w:rPr>
        <w:t>（</w:t>
      </w:r>
      <w:r>
        <w:rPr>
          <w:rFonts w:hint="eastAsia" w:ascii="宋体" w:hAnsi="宋体" w:cs="宋体"/>
          <w:b/>
          <w:w w:val="80"/>
          <w:sz w:val="28"/>
          <w:szCs w:val="28"/>
          <w:lang w:val="zh-CN"/>
        </w:rPr>
        <w:t>写明付款节点和比例</w:t>
      </w:r>
      <w:r>
        <w:rPr>
          <w:rFonts w:hint="eastAsia" w:ascii="宋体" w:hAnsi="宋体" w:eastAsia="宋体" w:cs="宋体"/>
          <w:b/>
          <w:color w:val="auto"/>
          <w:w w:val="80"/>
          <w:sz w:val="28"/>
          <w:szCs w:val="28"/>
          <w:lang w:val="zh-CN"/>
        </w:rPr>
        <w:t>）</w:t>
      </w:r>
      <w:r>
        <w:rPr>
          <w:rFonts w:hint="eastAsia" w:ascii="宋体" w:hAnsi="宋体" w:cs="宋体"/>
          <w:b/>
          <w:w w:val="80"/>
          <w:sz w:val="28"/>
          <w:szCs w:val="28"/>
          <w:lang w:val="zh-CN"/>
        </w:rPr>
        <w:t>：</w:t>
      </w:r>
      <w:r>
        <w:rPr>
          <w:rFonts w:hint="eastAsia" w:ascii="宋体" w:hAnsi="宋体" w:cs="宋体"/>
          <w:b/>
          <w:sz w:val="28"/>
          <w:szCs w:val="28"/>
          <w:u w:val="single"/>
          <w:lang w:val="zh-CN"/>
        </w:rPr>
        <w:t xml:space="preserve">                                            </w:t>
      </w:r>
    </w:p>
    <w:p w14:paraId="13F560A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3、一旦我方中标，我方保证在合同签订约定的时间</w:t>
      </w:r>
      <w:r>
        <w:rPr>
          <w:rFonts w:hint="eastAsia" w:ascii="宋体" w:hAnsi="宋体" w:cs="宋体"/>
          <w:sz w:val="28"/>
          <w:szCs w:val="28"/>
        </w:rPr>
        <w:t>完成招标内容中所有工程</w:t>
      </w:r>
      <w:r>
        <w:rPr>
          <w:rFonts w:hint="eastAsia" w:ascii="宋体" w:hAnsi="宋体" w:cs="宋体"/>
          <w:sz w:val="28"/>
          <w:szCs w:val="28"/>
          <w:lang w:val="zh-CN"/>
        </w:rPr>
        <w:t>，并承担任何质量缺陷保修责任。</w:t>
      </w:r>
    </w:p>
    <w:p w14:paraId="2BEB15D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4、我方保证质量标准达到</w:t>
      </w:r>
      <w:r>
        <w:rPr>
          <w:rFonts w:hint="eastAsia" w:ascii="宋体" w:hAnsi="宋体" w:cs="宋体"/>
          <w:sz w:val="28"/>
          <w:szCs w:val="28"/>
          <w:u w:val="single"/>
          <w:lang w:val="zh-CN"/>
        </w:rPr>
        <w:t xml:space="preserve">    合格    </w:t>
      </w:r>
      <w:r>
        <w:rPr>
          <w:rFonts w:hint="eastAsia" w:ascii="宋体" w:hAnsi="宋体" w:cs="宋体"/>
          <w:sz w:val="28"/>
          <w:szCs w:val="28"/>
          <w:lang w:val="zh-CN"/>
        </w:rPr>
        <w:t>。</w:t>
      </w:r>
    </w:p>
    <w:p w14:paraId="0D3F4CFB">
      <w:pPr>
        <w:spacing w:line="360" w:lineRule="auto"/>
        <w:ind w:firstLine="548" w:firstLineChars="196"/>
        <w:rPr>
          <w:rFonts w:hint="eastAsia" w:ascii="宋体" w:hAnsi="宋体" w:cs="宋体"/>
          <w:sz w:val="28"/>
          <w:szCs w:val="28"/>
        </w:rPr>
      </w:pPr>
      <w:r>
        <w:rPr>
          <w:rFonts w:hint="eastAsia" w:ascii="宋体" w:hAnsi="宋体" w:cs="宋体"/>
          <w:sz w:val="28"/>
          <w:szCs w:val="28"/>
          <w:lang w:val="zh-CN"/>
        </w:rPr>
        <w:t>5、</w:t>
      </w:r>
      <w:r>
        <w:rPr>
          <w:rFonts w:hint="eastAsia" w:ascii="宋体" w:hAnsi="宋体" w:cs="宋体"/>
          <w:sz w:val="28"/>
          <w:szCs w:val="28"/>
        </w:rPr>
        <w:t>我方承诺质保期：</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b/>
          <w:bCs/>
          <w:sz w:val="28"/>
          <w:szCs w:val="28"/>
        </w:rPr>
        <w:t>（不低于2</w:t>
      </w:r>
      <w:r>
        <w:rPr>
          <w:rFonts w:hint="eastAsia" w:ascii="宋体" w:hAnsi="宋体"/>
          <w:b/>
          <w:bCs/>
          <w:sz w:val="28"/>
          <w:szCs w:val="28"/>
        </w:rPr>
        <w:t>年）</w:t>
      </w:r>
    </w:p>
    <w:p w14:paraId="0B6249F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6、我方同意所递交的投标文件在投标有效期内有效，在这期间内我方的投标有可能中标，我方将受此约束。</w:t>
      </w:r>
    </w:p>
    <w:p w14:paraId="56B9780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7、除非另外达成协议并生效，你方的中标通知书和本投标文件将成为合同的一部分。</w:t>
      </w:r>
    </w:p>
    <w:p w14:paraId="5EF49515">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8、我方金额为人民币</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元（大写）投标保证金已递交。</w:t>
      </w:r>
    </w:p>
    <w:p w14:paraId="42831A28">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rPr>
        <w:t>9、投标报价有效期90日。</w:t>
      </w:r>
    </w:p>
    <w:p w14:paraId="57EEF7C0">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投标人：</w:t>
      </w:r>
      <w:r>
        <w:rPr>
          <w:rFonts w:hint="eastAsia" w:ascii="宋体" w:hAnsi="宋体" w:cs="宋体"/>
          <w:sz w:val="28"/>
          <w:szCs w:val="28"/>
          <w:u w:val="single"/>
        </w:rPr>
        <w:t xml:space="preserve">                 </w:t>
      </w:r>
      <w:r>
        <w:rPr>
          <w:rFonts w:hint="eastAsia" w:ascii="宋体" w:hAnsi="宋体" w:cs="宋体"/>
          <w:sz w:val="28"/>
          <w:szCs w:val="28"/>
          <w:lang w:val="zh-CN"/>
        </w:rPr>
        <w:t>（盖章）</w:t>
      </w:r>
    </w:p>
    <w:p w14:paraId="50F6173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法定代表人（委托代理人）：</w:t>
      </w:r>
      <w:r>
        <w:rPr>
          <w:rFonts w:hint="eastAsia" w:ascii="宋体" w:hAnsi="宋体" w:cs="宋体"/>
          <w:sz w:val="28"/>
          <w:szCs w:val="28"/>
          <w:u w:val="single"/>
        </w:rPr>
        <w:t xml:space="preserve">               </w:t>
      </w:r>
      <w:r>
        <w:rPr>
          <w:rFonts w:hint="eastAsia" w:ascii="宋体" w:hAnsi="宋体" w:cs="宋体"/>
          <w:sz w:val="28"/>
          <w:szCs w:val="28"/>
          <w:lang w:val="zh-CN"/>
        </w:rPr>
        <w:t>（签章）</w:t>
      </w:r>
    </w:p>
    <w:p w14:paraId="46A093C8">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单位地址：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67F2CF25">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邮政编码：</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电话：</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传真：</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1B2C0221">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开户银行名称：</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31B61936">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银行帐号：</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1FA1DD4">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开户行地址：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316C9ED">
      <w:pPr>
        <w:spacing w:line="52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日期：</w:t>
      </w:r>
      <w:r>
        <w:rPr>
          <w:rFonts w:hint="eastAsia" w:ascii="宋体" w:hAnsi="宋体" w:cs="宋体"/>
          <w:sz w:val="28"/>
          <w:szCs w:val="28"/>
          <w:u w:val="single"/>
          <w:lang w:val="zh-CN"/>
        </w:rPr>
        <w:t xml:space="preserve">     </w:t>
      </w:r>
      <w:r>
        <w:rPr>
          <w:rFonts w:hint="eastAsia" w:ascii="宋体" w:hAnsi="宋体" w:cs="宋体"/>
          <w:sz w:val="28"/>
          <w:szCs w:val="28"/>
          <w:lang w:val="zh-CN"/>
        </w:rPr>
        <w:t>年</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0B95B68B">
      <w:pPr>
        <w:spacing w:line="520" w:lineRule="exact"/>
        <w:ind w:firstLine="560" w:firstLineChars="200"/>
        <w:rPr>
          <w:rFonts w:ascii="宋体" w:hAnsi="宋体" w:cs="宋体"/>
          <w:sz w:val="28"/>
          <w:szCs w:val="28"/>
          <w:lang w:val="zh-CN"/>
        </w:rPr>
      </w:pPr>
    </w:p>
    <w:p w14:paraId="163B5708">
      <w:pPr>
        <w:spacing w:line="520" w:lineRule="exact"/>
        <w:ind w:firstLine="560" w:firstLineChars="200"/>
        <w:rPr>
          <w:rFonts w:ascii="宋体" w:hAnsi="宋体" w:cs="宋体"/>
          <w:sz w:val="28"/>
          <w:szCs w:val="28"/>
          <w:lang w:val="zh-CN"/>
        </w:rPr>
      </w:pPr>
    </w:p>
    <w:p w14:paraId="55E1C3BC">
      <w:pPr>
        <w:spacing w:line="520" w:lineRule="exact"/>
        <w:ind w:firstLine="560" w:firstLineChars="200"/>
        <w:rPr>
          <w:rFonts w:ascii="宋体" w:hAnsi="宋体" w:cs="宋体"/>
          <w:sz w:val="28"/>
          <w:szCs w:val="28"/>
          <w:lang w:val="zh-CN"/>
        </w:rPr>
      </w:pPr>
    </w:p>
    <w:p w14:paraId="24352F77">
      <w:pPr>
        <w:spacing w:line="520" w:lineRule="exact"/>
        <w:ind w:firstLine="560" w:firstLineChars="200"/>
        <w:rPr>
          <w:rFonts w:ascii="宋体" w:hAnsi="宋体" w:cs="宋体"/>
          <w:sz w:val="28"/>
          <w:szCs w:val="28"/>
          <w:lang w:val="zh-CN"/>
        </w:rPr>
      </w:pPr>
    </w:p>
    <w:p w14:paraId="1ED650C1">
      <w:pPr>
        <w:spacing w:line="520" w:lineRule="exact"/>
        <w:ind w:firstLine="560" w:firstLineChars="200"/>
        <w:rPr>
          <w:rFonts w:ascii="宋体" w:hAnsi="宋体" w:cs="宋体"/>
          <w:sz w:val="28"/>
          <w:szCs w:val="28"/>
          <w:lang w:val="zh-CN"/>
        </w:rPr>
      </w:pPr>
    </w:p>
    <w:p w14:paraId="43D12860">
      <w:pPr>
        <w:spacing w:line="520" w:lineRule="exact"/>
        <w:ind w:firstLine="560" w:firstLineChars="200"/>
        <w:rPr>
          <w:rFonts w:ascii="宋体" w:hAnsi="宋体" w:cs="宋体"/>
          <w:sz w:val="28"/>
          <w:szCs w:val="28"/>
          <w:lang w:val="zh-CN"/>
        </w:rPr>
      </w:pPr>
    </w:p>
    <w:p w14:paraId="7450027C">
      <w:pPr>
        <w:spacing w:line="520" w:lineRule="exact"/>
        <w:ind w:firstLine="560" w:firstLineChars="200"/>
        <w:rPr>
          <w:rFonts w:ascii="宋体" w:hAnsi="宋体" w:cs="宋体"/>
          <w:sz w:val="28"/>
          <w:szCs w:val="28"/>
          <w:lang w:val="zh-CN"/>
        </w:rPr>
      </w:pPr>
    </w:p>
    <w:p w14:paraId="5FDE9894">
      <w:pPr>
        <w:spacing w:line="520" w:lineRule="exact"/>
        <w:ind w:firstLine="560" w:firstLineChars="200"/>
        <w:rPr>
          <w:rFonts w:ascii="宋体" w:hAnsi="宋体" w:cs="宋体"/>
          <w:sz w:val="28"/>
          <w:szCs w:val="28"/>
          <w:lang w:val="zh-CN"/>
        </w:rPr>
      </w:pPr>
    </w:p>
    <w:p w14:paraId="62C14E9B">
      <w:pPr>
        <w:spacing w:line="520" w:lineRule="exact"/>
        <w:ind w:firstLine="560" w:firstLineChars="200"/>
        <w:rPr>
          <w:rFonts w:ascii="宋体" w:hAnsi="宋体" w:cs="宋体"/>
          <w:sz w:val="28"/>
          <w:szCs w:val="28"/>
          <w:lang w:val="zh-CN"/>
        </w:rPr>
      </w:pPr>
    </w:p>
    <w:p w14:paraId="1FB917A7">
      <w:pPr>
        <w:rPr>
          <w:rFonts w:ascii="宋体" w:hAnsi="宋体" w:cs="宋体"/>
          <w:b/>
          <w:color w:val="000000"/>
          <w:sz w:val="28"/>
          <w:szCs w:val="28"/>
        </w:rPr>
      </w:pPr>
    </w:p>
    <w:p w14:paraId="4630DEAA">
      <w:pPr>
        <w:jc w:val="center"/>
        <w:rPr>
          <w:rFonts w:ascii="宋体" w:hAnsi="宋体" w:cs="宋体"/>
          <w:b/>
          <w:color w:val="000000"/>
          <w:sz w:val="32"/>
          <w:szCs w:val="32"/>
        </w:rPr>
      </w:pPr>
      <w:r>
        <w:rPr>
          <w:rFonts w:hint="eastAsia" w:ascii="宋体" w:hAnsi="宋体" w:cs="宋体"/>
          <w:b/>
          <w:color w:val="000000"/>
          <w:sz w:val="32"/>
          <w:szCs w:val="32"/>
        </w:rPr>
        <w:t>四、近三年来所承建类似工程情况一览表</w:t>
      </w:r>
    </w:p>
    <w:tbl>
      <w:tblPr>
        <w:tblStyle w:val="6"/>
        <w:tblpPr w:leftFromText="180" w:rightFromText="180" w:vertAnchor="text" w:horzAnchor="margin" w:tblpXSpec="center" w:tblpY="711"/>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3"/>
        <w:gridCol w:w="2026"/>
        <w:gridCol w:w="1276"/>
        <w:gridCol w:w="1191"/>
        <w:gridCol w:w="1077"/>
        <w:gridCol w:w="858"/>
        <w:gridCol w:w="1161"/>
      </w:tblGrid>
      <w:tr w14:paraId="1C40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2193" w:type="dxa"/>
            <w:noWrap/>
            <w:vAlign w:val="center"/>
          </w:tcPr>
          <w:p w14:paraId="6BD22336">
            <w:pPr>
              <w:spacing w:line="360" w:lineRule="auto"/>
              <w:jc w:val="center"/>
              <w:rPr>
                <w:rFonts w:ascii="宋体" w:hAnsi="宋体"/>
                <w:color w:val="000000"/>
                <w:sz w:val="28"/>
                <w:szCs w:val="28"/>
              </w:rPr>
            </w:pPr>
            <w:r>
              <w:rPr>
                <w:rFonts w:hint="eastAsia" w:ascii="宋体" w:hAnsi="宋体"/>
                <w:color w:val="000000"/>
                <w:sz w:val="28"/>
                <w:szCs w:val="28"/>
              </w:rPr>
              <w:t>建设单位名称</w:t>
            </w:r>
          </w:p>
        </w:tc>
        <w:tc>
          <w:tcPr>
            <w:tcW w:w="2026" w:type="dxa"/>
            <w:noWrap/>
            <w:vAlign w:val="center"/>
          </w:tcPr>
          <w:p w14:paraId="1B2AE1BE">
            <w:pPr>
              <w:spacing w:line="360" w:lineRule="auto"/>
              <w:jc w:val="center"/>
              <w:rPr>
                <w:rFonts w:ascii="宋体" w:hAnsi="宋体"/>
                <w:color w:val="000000"/>
                <w:sz w:val="28"/>
                <w:szCs w:val="28"/>
              </w:rPr>
            </w:pPr>
            <w:r>
              <w:rPr>
                <w:rFonts w:hint="eastAsia" w:ascii="宋体" w:hAnsi="宋体"/>
                <w:color w:val="000000"/>
                <w:sz w:val="28"/>
                <w:szCs w:val="28"/>
              </w:rPr>
              <w:t>项目名称及建设地点</w:t>
            </w:r>
          </w:p>
        </w:tc>
        <w:tc>
          <w:tcPr>
            <w:tcW w:w="1276" w:type="dxa"/>
            <w:noWrap/>
            <w:vAlign w:val="center"/>
          </w:tcPr>
          <w:p w14:paraId="1D46C4A4">
            <w:pPr>
              <w:spacing w:line="360" w:lineRule="auto"/>
              <w:jc w:val="center"/>
              <w:rPr>
                <w:rFonts w:ascii="宋体" w:hAnsi="宋体"/>
                <w:color w:val="000000"/>
                <w:sz w:val="28"/>
                <w:szCs w:val="28"/>
              </w:rPr>
            </w:pPr>
            <w:r>
              <w:rPr>
                <w:rFonts w:hint="eastAsia" w:ascii="宋体" w:hAnsi="宋体"/>
                <w:color w:val="000000"/>
                <w:sz w:val="28"/>
                <w:szCs w:val="28"/>
              </w:rPr>
              <w:t>建 设</w:t>
            </w:r>
          </w:p>
          <w:p w14:paraId="254ED4E2">
            <w:pPr>
              <w:spacing w:line="360" w:lineRule="auto"/>
              <w:jc w:val="center"/>
              <w:rPr>
                <w:rFonts w:ascii="宋体" w:hAnsi="宋体"/>
                <w:color w:val="000000"/>
                <w:sz w:val="28"/>
                <w:szCs w:val="28"/>
              </w:rPr>
            </w:pPr>
            <w:r>
              <w:rPr>
                <w:rFonts w:hint="eastAsia" w:ascii="宋体" w:hAnsi="宋体"/>
                <w:color w:val="000000"/>
                <w:sz w:val="28"/>
                <w:szCs w:val="28"/>
              </w:rPr>
              <w:t>规 模</w:t>
            </w:r>
          </w:p>
        </w:tc>
        <w:tc>
          <w:tcPr>
            <w:tcW w:w="1191" w:type="dxa"/>
            <w:noWrap/>
            <w:vAlign w:val="center"/>
          </w:tcPr>
          <w:p w14:paraId="29D227FA">
            <w:pPr>
              <w:spacing w:line="360" w:lineRule="auto"/>
              <w:jc w:val="center"/>
              <w:rPr>
                <w:rFonts w:ascii="宋体" w:hAnsi="宋体"/>
                <w:color w:val="000000"/>
                <w:sz w:val="28"/>
                <w:szCs w:val="28"/>
              </w:rPr>
            </w:pPr>
            <w:r>
              <w:rPr>
                <w:rFonts w:hint="eastAsia" w:ascii="宋体" w:hAnsi="宋体"/>
                <w:color w:val="000000"/>
                <w:sz w:val="28"/>
                <w:szCs w:val="28"/>
              </w:rPr>
              <w:t>开竣工日 期</w:t>
            </w:r>
          </w:p>
        </w:tc>
        <w:tc>
          <w:tcPr>
            <w:tcW w:w="1077" w:type="dxa"/>
            <w:noWrap/>
            <w:vAlign w:val="center"/>
          </w:tcPr>
          <w:p w14:paraId="40BA1797">
            <w:pPr>
              <w:spacing w:line="360" w:lineRule="auto"/>
              <w:jc w:val="center"/>
              <w:rPr>
                <w:rFonts w:ascii="宋体" w:hAnsi="宋体"/>
                <w:color w:val="000000"/>
                <w:sz w:val="28"/>
                <w:szCs w:val="28"/>
              </w:rPr>
            </w:pPr>
            <w:r>
              <w:rPr>
                <w:rFonts w:hint="eastAsia" w:ascii="宋体" w:hAnsi="宋体"/>
                <w:color w:val="000000"/>
                <w:sz w:val="28"/>
                <w:szCs w:val="28"/>
              </w:rPr>
              <w:t>合 同</w:t>
            </w:r>
          </w:p>
          <w:p w14:paraId="1DD19E2B">
            <w:pPr>
              <w:spacing w:line="360" w:lineRule="auto"/>
              <w:jc w:val="center"/>
              <w:rPr>
                <w:rFonts w:ascii="宋体" w:hAnsi="宋体"/>
                <w:color w:val="000000"/>
                <w:sz w:val="28"/>
                <w:szCs w:val="28"/>
              </w:rPr>
            </w:pPr>
            <w:r>
              <w:rPr>
                <w:rFonts w:hint="eastAsia" w:ascii="宋体" w:hAnsi="宋体"/>
                <w:color w:val="000000"/>
                <w:sz w:val="28"/>
                <w:szCs w:val="28"/>
              </w:rPr>
              <w:t>价 格</w:t>
            </w:r>
          </w:p>
        </w:tc>
        <w:tc>
          <w:tcPr>
            <w:tcW w:w="858" w:type="dxa"/>
            <w:noWrap/>
            <w:vAlign w:val="center"/>
          </w:tcPr>
          <w:p w14:paraId="6F1476D8">
            <w:pPr>
              <w:spacing w:line="360" w:lineRule="auto"/>
              <w:jc w:val="center"/>
              <w:rPr>
                <w:rFonts w:ascii="宋体" w:hAnsi="宋体"/>
                <w:color w:val="000000"/>
                <w:sz w:val="28"/>
                <w:szCs w:val="28"/>
              </w:rPr>
            </w:pPr>
            <w:r>
              <w:rPr>
                <w:rFonts w:hint="eastAsia" w:ascii="宋体" w:hAnsi="宋体"/>
                <w:color w:val="000000"/>
                <w:sz w:val="28"/>
                <w:szCs w:val="28"/>
              </w:rPr>
              <w:t>质量达到标准</w:t>
            </w:r>
          </w:p>
        </w:tc>
        <w:tc>
          <w:tcPr>
            <w:tcW w:w="1161" w:type="dxa"/>
            <w:noWrap/>
            <w:vAlign w:val="center"/>
          </w:tcPr>
          <w:p w14:paraId="3B14088F">
            <w:pPr>
              <w:spacing w:line="360" w:lineRule="auto"/>
              <w:jc w:val="center"/>
              <w:rPr>
                <w:rFonts w:ascii="宋体" w:hAnsi="宋体"/>
                <w:color w:val="000000"/>
                <w:sz w:val="28"/>
                <w:szCs w:val="28"/>
              </w:rPr>
            </w:pPr>
            <w:r>
              <w:rPr>
                <w:rFonts w:hint="eastAsia" w:ascii="宋体" w:hAnsi="宋体"/>
                <w:color w:val="000000"/>
                <w:sz w:val="28"/>
                <w:szCs w:val="28"/>
              </w:rPr>
              <w:t>合同履约情况</w:t>
            </w:r>
          </w:p>
        </w:tc>
      </w:tr>
      <w:tr w14:paraId="23FF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trPr>
        <w:tc>
          <w:tcPr>
            <w:tcW w:w="2193" w:type="dxa"/>
            <w:noWrap/>
          </w:tcPr>
          <w:p w14:paraId="111DB007">
            <w:pPr>
              <w:spacing w:line="360" w:lineRule="auto"/>
              <w:rPr>
                <w:rFonts w:ascii="宋体" w:hAnsi="宋体"/>
                <w:color w:val="000000"/>
                <w:sz w:val="28"/>
                <w:szCs w:val="28"/>
              </w:rPr>
            </w:pPr>
          </w:p>
        </w:tc>
        <w:tc>
          <w:tcPr>
            <w:tcW w:w="2026" w:type="dxa"/>
            <w:noWrap/>
          </w:tcPr>
          <w:p w14:paraId="2B4D3DA1">
            <w:pPr>
              <w:spacing w:line="360" w:lineRule="auto"/>
              <w:rPr>
                <w:rFonts w:ascii="宋体" w:hAnsi="宋体"/>
                <w:color w:val="000000"/>
                <w:sz w:val="28"/>
                <w:szCs w:val="28"/>
              </w:rPr>
            </w:pPr>
          </w:p>
        </w:tc>
        <w:tc>
          <w:tcPr>
            <w:tcW w:w="1276" w:type="dxa"/>
            <w:noWrap/>
          </w:tcPr>
          <w:p w14:paraId="3D5A0231">
            <w:pPr>
              <w:spacing w:line="360" w:lineRule="auto"/>
              <w:rPr>
                <w:rFonts w:ascii="宋体" w:hAnsi="宋体"/>
                <w:color w:val="000000"/>
                <w:sz w:val="28"/>
                <w:szCs w:val="28"/>
              </w:rPr>
            </w:pPr>
          </w:p>
        </w:tc>
        <w:tc>
          <w:tcPr>
            <w:tcW w:w="1191" w:type="dxa"/>
            <w:noWrap/>
          </w:tcPr>
          <w:p w14:paraId="5A73482F">
            <w:pPr>
              <w:spacing w:line="360" w:lineRule="auto"/>
              <w:rPr>
                <w:rFonts w:ascii="宋体" w:hAnsi="宋体"/>
                <w:color w:val="000000"/>
                <w:sz w:val="28"/>
                <w:szCs w:val="28"/>
              </w:rPr>
            </w:pPr>
          </w:p>
        </w:tc>
        <w:tc>
          <w:tcPr>
            <w:tcW w:w="1077" w:type="dxa"/>
            <w:noWrap/>
          </w:tcPr>
          <w:p w14:paraId="57815BD9">
            <w:pPr>
              <w:spacing w:line="360" w:lineRule="auto"/>
              <w:rPr>
                <w:rFonts w:ascii="宋体" w:hAnsi="宋体"/>
                <w:color w:val="000000"/>
                <w:sz w:val="28"/>
                <w:szCs w:val="28"/>
              </w:rPr>
            </w:pPr>
          </w:p>
        </w:tc>
        <w:tc>
          <w:tcPr>
            <w:tcW w:w="858" w:type="dxa"/>
            <w:noWrap/>
          </w:tcPr>
          <w:p w14:paraId="282E5593">
            <w:pPr>
              <w:spacing w:line="360" w:lineRule="auto"/>
              <w:rPr>
                <w:rFonts w:ascii="宋体" w:hAnsi="宋体"/>
                <w:color w:val="000000"/>
                <w:sz w:val="28"/>
                <w:szCs w:val="28"/>
              </w:rPr>
            </w:pPr>
          </w:p>
        </w:tc>
        <w:tc>
          <w:tcPr>
            <w:tcW w:w="1161" w:type="dxa"/>
            <w:noWrap/>
          </w:tcPr>
          <w:p w14:paraId="0AC4ABE0">
            <w:pPr>
              <w:spacing w:line="360" w:lineRule="auto"/>
              <w:rPr>
                <w:rFonts w:ascii="宋体" w:hAnsi="宋体"/>
                <w:color w:val="000000"/>
                <w:sz w:val="28"/>
                <w:szCs w:val="28"/>
              </w:rPr>
            </w:pPr>
          </w:p>
        </w:tc>
      </w:tr>
      <w:tr w14:paraId="0C84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9CC028D">
            <w:pPr>
              <w:spacing w:line="360" w:lineRule="auto"/>
              <w:rPr>
                <w:rFonts w:ascii="宋体" w:hAnsi="宋体"/>
                <w:color w:val="000000"/>
                <w:sz w:val="28"/>
                <w:szCs w:val="28"/>
              </w:rPr>
            </w:pPr>
          </w:p>
        </w:tc>
        <w:tc>
          <w:tcPr>
            <w:tcW w:w="2026" w:type="dxa"/>
            <w:noWrap/>
          </w:tcPr>
          <w:p w14:paraId="2CE24D21">
            <w:pPr>
              <w:spacing w:line="360" w:lineRule="auto"/>
              <w:rPr>
                <w:rFonts w:ascii="宋体" w:hAnsi="宋体"/>
                <w:color w:val="000000"/>
                <w:sz w:val="28"/>
                <w:szCs w:val="28"/>
              </w:rPr>
            </w:pPr>
          </w:p>
        </w:tc>
        <w:tc>
          <w:tcPr>
            <w:tcW w:w="1276" w:type="dxa"/>
            <w:noWrap/>
          </w:tcPr>
          <w:p w14:paraId="6FF80C9D">
            <w:pPr>
              <w:spacing w:line="360" w:lineRule="auto"/>
              <w:rPr>
                <w:rFonts w:ascii="宋体" w:hAnsi="宋体"/>
                <w:color w:val="000000"/>
                <w:sz w:val="28"/>
                <w:szCs w:val="28"/>
              </w:rPr>
            </w:pPr>
          </w:p>
        </w:tc>
        <w:tc>
          <w:tcPr>
            <w:tcW w:w="1191" w:type="dxa"/>
            <w:noWrap/>
          </w:tcPr>
          <w:p w14:paraId="3E5E9920">
            <w:pPr>
              <w:spacing w:line="360" w:lineRule="auto"/>
              <w:rPr>
                <w:rFonts w:ascii="宋体" w:hAnsi="宋体"/>
                <w:color w:val="000000"/>
                <w:sz w:val="28"/>
                <w:szCs w:val="28"/>
              </w:rPr>
            </w:pPr>
          </w:p>
        </w:tc>
        <w:tc>
          <w:tcPr>
            <w:tcW w:w="1077" w:type="dxa"/>
            <w:noWrap/>
          </w:tcPr>
          <w:p w14:paraId="37F95AF4">
            <w:pPr>
              <w:spacing w:line="360" w:lineRule="auto"/>
              <w:rPr>
                <w:rFonts w:ascii="宋体" w:hAnsi="宋体"/>
                <w:color w:val="000000"/>
                <w:sz w:val="28"/>
                <w:szCs w:val="28"/>
              </w:rPr>
            </w:pPr>
          </w:p>
        </w:tc>
        <w:tc>
          <w:tcPr>
            <w:tcW w:w="858" w:type="dxa"/>
            <w:noWrap/>
          </w:tcPr>
          <w:p w14:paraId="70ABC40C">
            <w:pPr>
              <w:spacing w:line="360" w:lineRule="auto"/>
              <w:rPr>
                <w:rFonts w:ascii="宋体" w:hAnsi="宋体"/>
                <w:color w:val="000000"/>
                <w:sz w:val="28"/>
                <w:szCs w:val="28"/>
              </w:rPr>
            </w:pPr>
          </w:p>
        </w:tc>
        <w:tc>
          <w:tcPr>
            <w:tcW w:w="1161" w:type="dxa"/>
            <w:noWrap/>
          </w:tcPr>
          <w:p w14:paraId="0AD23A35">
            <w:pPr>
              <w:spacing w:line="360" w:lineRule="auto"/>
              <w:rPr>
                <w:rFonts w:ascii="宋体" w:hAnsi="宋体"/>
                <w:color w:val="000000"/>
                <w:sz w:val="28"/>
                <w:szCs w:val="28"/>
              </w:rPr>
            </w:pPr>
          </w:p>
        </w:tc>
      </w:tr>
      <w:tr w14:paraId="7999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1AD7A04">
            <w:pPr>
              <w:spacing w:line="360" w:lineRule="auto"/>
              <w:rPr>
                <w:rFonts w:ascii="宋体" w:hAnsi="宋体"/>
                <w:color w:val="000000"/>
                <w:sz w:val="28"/>
                <w:szCs w:val="28"/>
              </w:rPr>
            </w:pPr>
          </w:p>
        </w:tc>
        <w:tc>
          <w:tcPr>
            <w:tcW w:w="2026" w:type="dxa"/>
            <w:noWrap/>
          </w:tcPr>
          <w:p w14:paraId="2B302A7B">
            <w:pPr>
              <w:spacing w:line="360" w:lineRule="auto"/>
              <w:rPr>
                <w:rFonts w:ascii="宋体" w:hAnsi="宋体"/>
                <w:color w:val="000000"/>
                <w:sz w:val="28"/>
                <w:szCs w:val="28"/>
              </w:rPr>
            </w:pPr>
          </w:p>
        </w:tc>
        <w:tc>
          <w:tcPr>
            <w:tcW w:w="1276" w:type="dxa"/>
            <w:noWrap/>
          </w:tcPr>
          <w:p w14:paraId="0D9B96CB">
            <w:pPr>
              <w:spacing w:line="360" w:lineRule="auto"/>
              <w:rPr>
                <w:rFonts w:ascii="宋体" w:hAnsi="宋体"/>
                <w:color w:val="000000"/>
                <w:sz w:val="28"/>
                <w:szCs w:val="28"/>
              </w:rPr>
            </w:pPr>
          </w:p>
        </w:tc>
        <w:tc>
          <w:tcPr>
            <w:tcW w:w="1191" w:type="dxa"/>
            <w:noWrap/>
          </w:tcPr>
          <w:p w14:paraId="06094BA1">
            <w:pPr>
              <w:spacing w:line="360" w:lineRule="auto"/>
              <w:rPr>
                <w:rFonts w:ascii="宋体" w:hAnsi="宋体"/>
                <w:color w:val="000000"/>
                <w:sz w:val="28"/>
                <w:szCs w:val="28"/>
              </w:rPr>
            </w:pPr>
          </w:p>
        </w:tc>
        <w:tc>
          <w:tcPr>
            <w:tcW w:w="1077" w:type="dxa"/>
            <w:noWrap/>
          </w:tcPr>
          <w:p w14:paraId="3BFAF8AA">
            <w:pPr>
              <w:spacing w:line="360" w:lineRule="auto"/>
              <w:rPr>
                <w:rFonts w:ascii="宋体" w:hAnsi="宋体"/>
                <w:color w:val="000000"/>
                <w:sz w:val="28"/>
                <w:szCs w:val="28"/>
              </w:rPr>
            </w:pPr>
          </w:p>
        </w:tc>
        <w:tc>
          <w:tcPr>
            <w:tcW w:w="858" w:type="dxa"/>
            <w:noWrap/>
          </w:tcPr>
          <w:p w14:paraId="21D62220">
            <w:pPr>
              <w:spacing w:line="360" w:lineRule="auto"/>
              <w:rPr>
                <w:rFonts w:ascii="宋体" w:hAnsi="宋体"/>
                <w:color w:val="000000"/>
                <w:sz w:val="28"/>
                <w:szCs w:val="28"/>
              </w:rPr>
            </w:pPr>
          </w:p>
        </w:tc>
        <w:tc>
          <w:tcPr>
            <w:tcW w:w="1161" w:type="dxa"/>
            <w:noWrap/>
          </w:tcPr>
          <w:p w14:paraId="5ADBA9F8">
            <w:pPr>
              <w:spacing w:line="360" w:lineRule="auto"/>
              <w:rPr>
                <w:rFonts w:ascii="宋体" w:hAnsi="宋体"/>
                <w:color w:val="000000"/>
                <w:sz w:val="28"/>
                <w:szCs w:val="28"/>
              </w:rPr>
            </w:pPr>
          </w:p>
        </w:tc>
      </w:tr>
      <w:tr w14:paraId="1FF6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5693B10">
            <w:pPr>
              <w:spacing w:line="360" w:lineRule="auto"/>
              <w:rPr>
                <w:rFonts w:ascii="宋体" w:hAnsi="宋体"/>
                <w:color w:val="000000"/>
                <w:sz w:val="28"/>
                <w:szCs w:val="28"/>
              </w:rPr>
            </w:pPr>
          </w:p>
        </w:tc>
        <w:tc>
          <w:tcPr>
            <w:tcW w:w="2026" w:type="dxa"/>
            <w:noWrap/>
          </w:tcPr>
          <w:p w14:paraId="11B11BBB">
            <w:pPr>
              <w:spacing w:line="360" w:lineRule="auto"/>
              <w:rPr>
                <w:rFonts w:ascii="宋体" w:hAnsi="宋体"/>
                <w:color w:val="000000"/>
                <w:sz w:val="28"/>
                <w:szCs w:val="28"/>
              </w:rPr>
            </w:pPr>
          </w:p>
        </w:tc>
        <w:tc>
          <w:tcPr>
            <w:tcW w:w="1276" w:type="dxa"/>
            <w:noWrap/>
          </w:tcPr>
          <w:p w14:paraId="550F2490">
            <w:pPr>
              <w:spacing w:line="360" w:lineRule="auto"/>
              <w:rPr>
                <w:rFonts w:ascii="宋体" w:hAnsi="宋体"/>
                <w:color w:val="000000"/>
                <w:sz w:val="28"/>
                <w:szCs w:val="28"/>
              </w:rPr>
            </w:pPr>
          </w:p>
        </w:tc>
        <w:tc>
          <w:tcPr>
            <w:tcW w:w="1191" w:type="dxa"/>
            <w:noWrap/>
          </w:tcPr>
          <w:p w14:paraId="4E94B70C">
            <w:pPr>
              <w:spacing w:line="360" w:lineRule="auto"/>
              <w:rPr>
                <w:rFonts w:ascii="宋体" w:hAnsi="宋体"/>
                <w:color w:val="000000"/>
                <w:sz w:val="28"/>
                <w:szCs w:val="28"/>
              </w:rPr>
            </w:pPr>
          </w:p>
        </w:tc>
        <w:tc>
          <w:tcPr>
            <w:tcW w:w="1077" w:type="dxa"/>
            <w:noWrap/>
          </w:tcPr>
          <w:p w14:paraId="6D688A0F">
            <w:pPr>
              <w:spacing w:line="360" w:lineRule="auto"/>
              <w:rPr>
                <w:rFonts w:ascii="宋体" w:hAnsi="宋体"/>
                <w:color w:val="000000"/>
                <w:sz w:val="28"/>
                <w:szCs w:val="28"/>
              </w:rPr>
            </w:pPr>
          </w:p>
        </w:tc>
        <w:tc>
          <w:tcPr>
            <w:tcW w:w="858" w:type="dxa"/>
            <w:noWrap/>
          </w:tcPr>
          <w:p w14:paraId="27DE7C4D">
            <w:pPr>
              <w:spacing w:line="360" w:lineRule="auto"/>
              <w:rPr>
                <w:rFonts w:ascii="宋体" w:hAnsi="宋体"/>
                <w:color w:val="000000"/>
                <w:sz w:val="28"/>
                <w:szCs w:val="28"/>
              </w:rPr>
            </w:pPr>
          </w:p>
        </w:tc>
        <w:tc>
          <w:tcPr>
            <w:tcW w:w="1161" w:type="dxa"/>
            <w:noWrap/>
          </w:tcPr>
          <w:p w14:paraId="039F5E41">
            <w:pPr>
              <w:spacing w:line="360" w:lineRule="auto"/>
              <w:rPr>
                <w:rFonts w:ascii="宋体" w:hAnsi="宋体"/>
                <w:color w:val="000000"/>
                <w:sz w:val="28"/>
                <w:szCs w:val="28"/>
              </w:rPr>
            </w:pPr>
          </w:p>
        </w:tc>
      </w:tr>
      <w:tr w14:paraId="54E6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3C18E9E">
            <w:pPr>
              <w:spacing w:line="360" w:lineRule="auto"/>
              <w:rPr>
                <w:rFonts w:ascii="宋体" w:hAnsi="宋体"/>
                <w:color w:val="000000"/>
                <w:sz w:val="28"/>
                <w:szCs w:val="28"/>
              </w:rPr>
            </w:pPr>
          </w:p>
        </w:tc>
        <w:tc>
          <w:tcPr>
            <w:tcW w:w="2026" w:type="dxa"/>
            <w:noWrap/>
          </w:tcPr>
          <w:p w14:paraId="4C591162">
            <w:pPr>
              <w:spacing w:line="360" w:lineRule="auto"/>
              <w:rPr>
                <w:rFonts w:ascii="宋体" w:hAnsi="宋体"/>
                <w:color w:val="000000"/>
                <w:sz w:val="28"/>
                <w:szCs w:val="28"/>
              </w:rPr>
            </w:pPr>
          </w:p>
        </w:tc>
        <w:tc>
          <w:tcPr>
            <w:tcW w:w="1276" w:type="dxa"/>
            <w:noWrap/>
          </w:tcPr>
          <w:p w14:paraId="1E7D1C65">
            <w:pPr>
              <w:spacing w:line="360" w:lineRule="auto"/>
              <w:rPr>
                <w:rFonts w:ascii="宋体" w:hAnsi="宋体"/>
                <w:color w:val="000000"/>
                <w:sz w:val="28"/>
                <w:szCs w:val="28"/>
              </w:rPr>
            </w:pPr>
          </w:p>
        </w:tc>
        <w:tc>
          <w:tcPr>
            <w:tcW w:w="1191" w:type="dxa"/>
            <w:noWrap/>
          </w:tcPr>
          <w:p w14:paraId="118A2BF3">
            <w:pPr>
              <w:spacing w:line="360" w:lineRule="auto"/>
              <w:rPr>
                <w:rFonts w:ascii="宋体" w:hAnsi="宋体"/>
                <w:color w:val="000000"/>
                <w:sz w:val="28"/>
                <w:szCs w:val="28"/>
              </w:rPr>
            </w:pPr>
          </w:p>
        </w:tc>
        <w:tc>
          <w:tcPr>
            <w:tcW w:w="1077" w:type="dxa"/>
            <w:noWrap/>
          </w:tcPr>
          <w:p w14:paraId="4CBEF292">
            <w:pPr>
              <w:spacing w:line="360" w:lineRule="auto"/>
              <w:rPr>
                <w:rFonts w:ascii="宋体" w:hAnsi="宋体"/>
                <w:color w:val="000000"/>
                <w:sz w:val="28"/>
                <w:szCs w:val="28"/>
              </w:rPr>
            </w:pPr>
          </w:p>
        </w:tc>
        <w:tc>
          <w:tcPr>
            <w:tcW w:w="858" w:type="dxa"/>
            <w:noWrap/>
          </w:tcPr>
          <w:p w14:paraId="16AD2B02">
            <w:pPr>
              <w:spacing w:line="360" w:lineRule="auto"/>
              <w:rPr>
                <w:rFonts w:ascii="宋体" w:hAnsi="宋体"/>
                <w:color w:val="000000"/>
                <w:sz w:val="28"/>
                <w:szCs w:val="28"/>
              </w:rPr>
            </w:pPr>
          </w:p>
        </w:tc>
        <w:tc>
          <w:tcPr>
            <w:tcW w:w="1161" w:type="dxa"/>
            <w:noWrap/>
          </w:tcPr>
          <w:p w14:paraId="7E7CE0AA">
            <w:pPr>
              <w:spacing w:line="360" w:lineRule="auto"/>
              <w:rPr>
                <w:rFonts w:ascii="宋体" w:hAnsi="宋体"/>
                <w:color w:val="000000"/>
                <w:sz w:val="28"/>
                <w:szCs w:val="28"/>
              </w:rPr>
            </w:pPr>
          </w:p>
        </w:tc>
      </w:tr>
      <w:tr w14:paraId="1C54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0730E22">
            <w:pPr>
              <w:spacing w:line="360" w:lineRule="auto"/>
              <w:rPr>
                <w:rFonts w:ascii="宋体" w:hAnsi="宋体"/>
                <w:color w:val="000000"/>
                <w:sz w:val="28"/>
                <w:szCs w:val="28"/>
              </w:rPr>
            </w:pPr>
          </w:p>
        </w:tc>
        <w:tc>
          <w:tcPr>
            <w:tcW w:w="2026" w:type="dxa"/>
            <w:noWrap/>
          </w:tcPr>
          <w:p w14:paraId="43A79ACD">
            <w:pPr>
              <w:spacing w:line="360" w:lineRule="auto"/>
              <w:rPr>
                <w:rFonts w:ascii="宋体" w:hAnsi="宋体"/>
                <w:color w:val="000000"/>
                <w:sz w:val="28"/>
                <w:szCs w:val="28"/>
              </w:rPr>
            </w:pPr>
          </w:p>
        </w:tc>
        <w:tc>
          <w:tcPr>
            <w:tcW w:w="1276" w:type="dxa"/>
            <w:noWrap/>
          </w:tcPr>
          <w:p w14:paraId="2CD6622B">
            <w:pPr>
              <w:spacing w:line="360" w:lineRule="auto"/>
              <w:rPr>
                <w:rFonts w:ascii="宋体" w:hAnsi="宋体"/>
                <w:color w:val="000000"/>
                <w:sz w:val="28"/>
                <w:szCs w:val="28"/>
              </w:rPr>
            </w:pPr>
          </w:p>
        </w:tc>
        <w:tc>
          <w:tcPr>
            <w:tcW w:w="1191" w:type="dxa"/>
            <w:noWrap/>
          </w:tcPr>
          <w:p w14:paraId="308D64A5">
            <w:pPr>
              <w:spacing w:line="360" w:lineRule="auto"/>
              <w:rPr>
                <w:rFonts w:ascii="宋体" w:hAnsi="宋体"/>
                <w:color w:val="000000"/>
                <w:sz w:val="28"/>
                <w:szCs w:val="28"/>
              </w:rPr>
            </w:pPr>
          </w:p>
        </w:tc>
        <w:tc>
          <w:tcPr>
            <w:tcW w:w="1077" w:type="dxa"/>
            <w:noWrap/>
          </w:tcPr>
          <w:p w14:paraId="704DB87E">
            <w:pPr>
              <w:spacing w:line="360" w:lineRule="auto"/>
              <w:rPr>
                <w:rFonts w:ascii="宋体" w:hAnsi="宋体"/>
                <w:color w:val="000000"/>
                <w:sz w:val="28"/>
                <w:szCs w:val="28"/>
              </w:rPr>
            </w:pPr>
          </w:p>
        </w:tc>
        <w:tc>
          <w:tcPr>
            <w:tcW w:w="858" w:type="dxa"/>
            <w:noWrap/>
          </w:tcPr>
          <w:p w14:paraId="1E8B1CAE">
            <w:pPr>
              <w:spacing w:line="360" w:lineRule="auto"/>
              <w:rPr>
                <w:rFonts w:ascii="宋体" w:hAnsi="宋体"/>
                <w:color w:val="000000"/>
                <w:sz w:val="28"/>
                <w:szCs w:val="28"/>
              </w:rPr>
            </w:pPr>
          </w:p>
        </w:tc>
        <w:tc>
          <w:tcPr>
            <w:tcW w:w="1161" w:type="dxa"/>
            <w:noWrap/>
          </w:tcPr>
          <w:p w14:paraId="7F698D48">
            <w:pPr>
              <w:spacing w:line="360" w:lineRule="auto"/>
              <w:rPr>
                <w:rFonts w:ascii="宋体" w:hAnsi="宋体"/>
                <w:color w:val="000000"/>
                <w:sz w:val="28"/>
                <w:szCs w:val="28"/>
              </w:rPr>
            </w:pPr>
          </w:p>
        </w:tc>
      </w:tr>
      <w:tr w14:paraId="23D5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DA3F28D">
            <w:pPr>
              <w:spacing w:line="360" w:lineRule="auto"/>
              <w:rPr>
                <w:rFonts w:ascii="宋体" w:hAnsi="宋体"/>
                <w:color w:val="000000"/>
                <w:sz w:val="28"/>
                <w:szCs w:val="28"/>
              </w:rPr>
            </w:pPr>
          </w:p>
        </w:tc>
        <w:tc>
          <w:tcPr>
            <w:tcW w:w="2026" w:type="dxa"/>
            <w:noWrap/>
          </w:tcPr>
          <w:p w14:paraId="51B91049">
            <w:pPr>
              <w:spacing w:line="360" w:lineRule="auto"/>
              <w:rPr>
                <w:rFonts w:ascii="宋体" w:hAnsi="宋体"/>
                <w:color w:val="000000"/>
                <w:sz w:val="28"/>
                <w:szCs w:val="28"/>
              </w:rPr>
            </w:pPr>
          </w:p>
        </w:tc>
        <w:tc>
          <w:tcPr>
            <w:tcW w:w="1276" w:type="dxa"/>
            <w:noWrap/>
          </w:tcPr>
          <w:p w14:paraId="78E8244B">
            <w:pPr>
              <w:spacing w:line="360" w:lineRule="auto"/>
              <w:rPr>
                <w:rFonts w:ascii="宋体" w:hAnsi="宋体"/>
                <w:color w:val="000000"/>
                <w:sz w:val="28"/>
                <w:szCs w:val="28"/>
              </w:rPr>
            </w:pPr>
          </w:p>
        </w:tc>
        <w:tc>
          <w:tcPr>
            <w:tcW w:w="1191" w:type="dxa"/>
            <w:noWrap/>
          </w:tcPr>
          <w:p w14:paraId="3EC37D10">
            <w:pPr>
              <w:spacing w:line="360" w:lineRule="auto"/>
              <w:rPr>
                <w:rFonts w:ascii="宋体" w:hAnsi="宋体"/>
                <w:color w:val="000000"/>
                <w:sz w:val="28"/>
                <w:szCs w:val="28"/>
              </w:rPr>
            </w:pPr>
          </w:p>
        </w:tc>
        <w:tc>
          <w:tcPr>
            <w:tcW w:w="1077" w:type="dxa"/>
            <w:noWrap/>
          </w:tcPr>
          <w:p w14:paraId="19133EA3">
            <w:pPr>
              <w:spacing w:line="360" w:lineRule="auto"/>
              <w:rPr>
                <w:rFonts w:ascii="宋体" w:hAnsi="宋体"/>
                <w:color w:val="000000"/>
                <w:sz w:val="28"/>
                <w:szCs w:val="28"/>
              </w:rPr>
            </w:pPr>
          </w:p>
        </w:tc>
        <w:tc>
          <w:tcPr>
            <w:tcW w:w="858" w:type="dxa"/>
            <w:noWrap/>
          </w:tcPr>
          <w:p w14:paraId="5BD11D8A">
            <w:pPr>
              <w:spacing w:line="360" w:lineRule="auto"/>
              <w:rPr>
                <w:rFonts w:ascii="宋体" w:hAnsi="宋体"/>
                <w:color w:val="000000"/>
                <w:sz w:val="28"/>
                <w:szCs w:val="28"/>
              </w:rPr>
            </w:pPr>
          </w:p>
        </w:tc>
        <w:tc>
          <w:tcPr>
            <w:tcW w:w="1161" w:type="dxa"/>
            <w:noWrap/>
          </w:tcPr>
          <w:p w14:paraId="19D96B85">
            <w:pPr>
              <w:spacing w:line="360" w:lineRule="auto"/>
              <w:rPr>
                <w:rFonts w:ascii="宋体" w:hAnsi="宋体"/>
                <w:color w:val="000000"/>
                <w:sz w:val="28"/>
                <w:szCs w:val="28"/>
              </w:rPr>
            </w:pPr>
          </w:p>
        </w:tc>
      </w:tr>
      <w:tr w14:paraId="3404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6AF4770">
            <w:pPr>
              <w:spacing w:line="360" w:lineRule="auto"/>
              <w:rPr>
                <w:rFonts w:ascii="宋体" w:hAnsi="宋体"/>
                <w:color w:val="000000"/>
                <w:sz w:val="28"/>
                <w:szCs w:val="28"/>
              </w:rPr>
            </w:pPr>
          </w:p>
        </w:tc>
        <w:tc>
          <w:tcPr>
            <w:tcW w:w="2026" w:type="dxa"/>
            <w:noWrap/>
          </w:tcPr>
          <w:p w14:paraId="7DFB8A6E">
            <w:pPr>
              <w:spacing w:line="360" w:lineRule="auto"/>
              <w:rPr>
                <w:rFonts w:ascii="宋体" w:hAnsi="宋体"/>
                <w:color w:val="000000"/>
                <w:sz w:val="28"/>
                <w:szCs w:val="28"/>
              </w:rPr>
            </w:pPr>
          </w:p>
        </w:tc>
        <w:tc>
          <w:tcPr>
            <w:tcW w:w="1276" w:type="dxa"/>
            <w:noWrap/>
          </w:tcPr>
          <w:p w14:paraId="5181B9F5">
            <w:pPr>
              <w:spacing w:line="360" w:lineRule="auto"/>
              <w:rPr>
                <w:rFonts w:ascii="宋体" w:hAnsi="宋体"/>
                <w:color w:val="000000"/>
                <w:sz w:val="28"/>
                <w:szCs w:val="28"/>
              </w:rPr>
            </w:pPr>
          </w:p>
        </w:tc>
        <w:tc>
          <w:tcPr>
            <w:tcW w:w="1191" w:type="dxa"/>
            <w:noWrap/>
          </w:tcPr>
          <w:p w14:paraId="031DD398">
            <w:pPr>
              <w:spacing w:line="360" w:lineRule="auto"/>
              <w:rPr>
                <w:rFonts w:ascii="宋体" w:hAnsi="宋体"/>
                <w:color w:val="000000"/>
                <w:sz w:val="28"/>
                <w:szCs w:val="28"/>
              </w:rPr>
            </w:pPr>
          </w:p>
        </w:tc>
        <w:tc>
          <w:tcPr>
            <w:tcW w:w="1077" w:type="dxa"/>
            <w:noWrap/>
          </w:tcPr>
          <w:p w14:paraId="692A719F">
            <w:pPr>
              <w:spacing w:line="360" w:lineRule="auto"/>
              <w:rPr>
                <w:rFonts w:ascii="宋体" w:hAnsi="宋体"/>
                <w:color w:val="000000"/>
                <w:sz w:val="28"/>
                <w:szCs w:val="28"/>
              </w:rPr>
            </w:pPr>
          </w:p>
        </w:tc>
        <w:tc>
          <w:tcPr>
            <w:tcW w:w="858" w:type="dxa"/>
            <w:noWrap/>
          </w:tcPr>
          <w:p w14:paraId="117DC04E">
            <w:pPr>
              <w:spacing w:line="360" w:lineRule="auto"/>
              <w:rPr>
                <w:rFonts w:ascii="宋体" w:hAnsi="宋体"/>
                <w:color w:val="000000"/>
                <w:sz w:val="28"/>
                <w:szCs w:val="28"/>
              </w:rPr>
            </w:pPr>
          </w:p>
        </w:tc>
        <w:tc>
          <w:tcPr>
            <w:tcW w:w="1161" w:type="dxa"/>
            <w:noWrap/>
          </w:tcPr>
          <w:p w14:paraId="2BF28BB9">
            <w:pPr>
              <w:spacing w:line="360" w:lineRule="auto"/>
              <w:rPr>
                <w:rFonts w:ascii="宋体" w:hAnsi="宋体"/>
                <w:color w:val="000000"/>
                <w:sz w:val="28"/>
                <w:szCs w:val="28"/>
              </w:rPr>
            </w:pPr>
          </w:p>
        </w:tc>
      </w:tr>
      <w:tr w14:paraId="4FD0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CC5BAC6">
            <w:pPr>
              <w:spacing w:line="360" w:lineRule="auto"/>
              <w:rPr>
                <w:rFonts w:ascii="宋体" w:hAnsi="宋体"/>
                <w:color w:val="000000"/>
                <w:sz w:val="28"/>
                <w:szCs w:val="28"/>
              </w:rPr>
            </w:pPr>
          </w:p>
        </w:tc>
        <w:tc>
          <w:tcPr>
            <w:tcW w:w="2026" w:type="dxa"/>
            <w:noWrap/>
          </w:tcPr>
          <w:p w14:paraId="11A056A2">
            <w:pPr>
              <w:spacing w:line="360" w:lineRule="auto"/>
              <w:rPr>
                <w:rFonts w:ascii="宋体" w:hAnsi="宋体"/>
                <w:color w:val="000000"/>
                <w:sz w:val="28"/>
                <w:szCs w:val="28"/>
              </w:rPr>
            </w:pPr>
          </w:p>
        </w:tc>
        <w:tc>
          <w:tcPr>
            <w:tcW w:w="1276" w:type="dxa"/>
            <w:noWrap/>
          </w:tcPr>
          <w:p w14:paraId="70295500">
            <w:pPr>
              <w:spacing w:line="360" w:lineRule="auto"/>
              <w:rPr>
                <w:rFonts w:ascii="宋体" w:hAnsi="宋体"/>
                <w:color w:val="000000"/>
                <w:sz w:val="28"/>
                <w:szCs w:val="28"/>
              </w:rPr>
            </w:pPr>
          </w:p>
        </w:tc>
        <w:tc>
          <w:tcPr>
            <w:tcW w:w="1191" w:type="dxa"/>
            <w:noWrap/>
          </w:tcPr>
          <w:p w14:paraId="5639BA76">
            <w:pPr>
              <w:spacing w:line="360" w:lineRule="auto"/>
              <w:rPr>
                <w:rFonts w:ascii="宋体" w:hAnsi="宋体"/>
                <w:color w:val="000000"/>
                <w:sz w:val="28"/>
                <w:szCs w:val="28"/>
              </w:rPr>
            </w:pPr>
          </w:p>
        </w:tc>
        <w:tc>
          <w:tcPr>
            <w:tcW w:w="1077" w:type="dxa"/>
            <w:noWrap/>
          </w:tcPr>
          <w:p w14:paraId="3B055451">
            <w:pPr>
              <w:spacing w:line="360" w:lineRule="auto"/>
              <w:rPr>
                <w:rFonts w:ascii="宋体" w:hAnsi="宋体"/>
                <w:color w:val="000000"/>
                <w:sz w:val="28"/>
                <w:szCs w:val="28"/>
              </w:rPr>
            </w:pPr>
          </w:p>
        </w:tc>
        <w:tc>
          <w:tcPr>
            <w:tcW w:w="858" w:type="dxa"/>
            <w:noWrap/>
          </w:tcPr>
          <w:p w14:paraId="5AB2F39C">
            <w:pPr>
              <w:spacing w:line="360" w:lineRule="auto"/>
              <w:rPr>
                <w:rFonts w:ascii="宋体" w:hAnsi="宋体"/>
                <w:color w:val="000000"/>
                <w:sz w:val="28"/>
                <w:szCs w:val="28"/>
              </w:rPr>
            </w:pPr>
          </w:p>
        </w:tc>
        <w:tc>
          <w:tcPr>
            <w:tcW w:w="1161" w:type="dxa"/>
            <w:noWrap/>
          </w:tcPr>
          <w:p w14:paraId="4C0B87C2">
            <w:pPr>
              <w:spacing w:line="360" w:lineRule="auto"/>
              <w:rPr>
                <w:rFonts w:ascii="宋体" w:hAnsi="宋体"/>
                <w:color w:val="000000"/>
                <w:sz w:val="28"/>
                <w:szCs w:val="28"/>
              </w:rPr>
            </w:pPr>
          </w:p>
        </w:tc>
      </w:tr>
      <w:tr w14:paraId="1DF7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07E90914">
            <w:pPr>
              <w:spacing w:line="360" w:lineRule="auto"/>
              <w:rPr>
                <w:rFonts w:ascii="宋体" w:hAnsi="宋体"/>
                <w:color w:val="000000"/>
                <w:sz w:val="28"/>
                <w:szCs w:val="28"/>
              </w:rPr>
            </w:pPr>
          </w:p>
        </w:tc>
        <w:tc>
          <w:tcPr>
            <w:tcW w:w="2026" w:type="dxa"/>
            <w:noWrap/>
          </w:tcPr>
          <w:p w14:paraId="2AC072A2">
            <w:pPr>
              <w:spacing w:line="360" w:lineRule="auto"/>
              <w:rPr>
                <w:rFonts w:ascii="宋体" w:hAnsi="宋体"/>
                <w:color w:val="000000"/>
                <w:sz w:val="28"/>
                <w:szCs w:val="28"/>
              </w:rPr>
            </w:pPr>
          </w:p>
        </w:tc>
        <w:tc>
          <w:tcPr>
            <w:tcW w:w="1276" w:type="dxa"/>
            <w:noWrap/>
          </w:tcPr>
          <w:p w14:paraId="3884981C">
            <w:pPr>
              <w:spacing w:line="360" w:lineRule="auto"/>
              <w:rPr>
                <w:rFonts w:ascii="宋体" w:hAnsi="宋体"/>
                <w:color w:val="000000"/>
                <w:sz w:val="28"/>
                <w:szCs w:val="28"/>
              </w:rPr>
            </w:pPr>
          </w:p>
        </w:tc>
        <w:tc>
          <w:tcPr>
            <w:tcW w:w="1191" w:type="dxa"/>
            <w:noWrap/>
          </w:tcPr>
          <w:p w14:paraId="03DD1F47">
            <w:pPr>
              <w:spacing w:line="360" w:lineRule="auto"/>
              <w:rPr>
                <w:rFonts w:ascii="宋体" w:hAnsi="宋体"/>
                <w:color w:val="000000"/>
                <w:sz w:val="28"/>
                <w:szCs w:val="28"/>
              </w:rPr>
            </w:pPr>
          </w:p>
        </w:tc>
        <w:tc>
          <w:tcPr>
            <w:tcW w:w="1077" w:type="dxa"/>
            <w:noWrap/>
          </w:tcPr>
          <w:p w14:paraId="567256EF">
            <w:pPr>
              <w:spacing w:line="360" w:lineRule="auto"/>
              <w:rPr>
                <w:rFonts w:ascii="宋体" w:hAnsi="宋体"/>
                <w:color w:val="000000"/>
                <w:sz w:val="28"/>
                <w:szCs w:val="28"/>
              </w:rPr>
            </w:pPr>
          </w:p>
        </w:tc>
        <w:tc>
          <w:tcPr>
            <w:tcW w:w="858" w:type="dxa"/>
            <w:noWrap/>
          </w:tcPr>
          <w:p w14:paraId="546092C1">
            <w:pPr>
              <w:spacing w:line="360" w:lineRule="auto"/>
              <w:rPr>
                <w:rFonts w:ascii="宋体" w:hAnsi="宋体"/>
                <w:color w:val="000000"/>
                <w:sz w:val="28"/>
                <w:szCs w:val="28"/>
              </w:rPr>
            </w:pPr>
          </w:p>
        </w:tc>
        <w:tc>
          <w:tcPr>
            <w:tcW w:w="1161" w:type="dxa"/>
            <w:noWrap/>
          </w:tcPr>
          <w:p w14:paraId="7BAAF22C">
            <w:pPr>
              <w:spacing w:line="360" w:lineRule="auto"/>
              <w:rPr>
                <w:rFonts w:ascii="宋体" w:hAnsi="宋体"/>
                <w:color w:val="000000"/>
                <w:sz w:val="28"/>
                <w:szCs w:val="28"/>
              </w:rPr>
            </w:pPr>
          </w:p>
        </w:tc>
      </w:tr>
      <w:tr w14:paraId="7781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8D87C32">
            <w:pPr>
              <w:spacing w:line="360" w:lineRule="auto"/>
              <w:rPr>
                <w:rFonts w:ascii="宋体" w:hAnsi="宋体"/>
                <w:color w:val="000000"/>
                <w:sz w:val="28"/>
                <w:szCs w:val="28"/>
              </w:rPr>
            </w:pPr>
          </w:p>
        </w:tc>
        <w:tc>
          <w:tcPr>
            <w:tcW w:w="2026" w:type="dxa"/>
            <w:noWrap/>
          </w:tcPr>
          <w:p w14:paraId="6950647F">
            <w:pPr>
              <w:spacing w:line="360" w:lineRule="auto"/>
              <w:rPr>
                <w:rFonts w:ascii="宋体" w:hAnsi="宋体"/>
                <w:color w:val="000000"/>
                <w:sz w:val="28"/>
                <w:szCs w:val="28"/>
              </w:rPr>
            </w:pPr>
          </w:p>
        </w:tc>
        <w:tc>
          <w:tcPr>
            <w:tcW w:w="1276" w:type="dxa"/>
            <w:noWrap/>
          </w:tcPr>
          <w:p w14:paraId="2BD0A853">
            <w:pPr>
              <w:spacing w:line="360" w:lineRule="auto"/>
              <w:rPr>
                <w:rFonts w:ascii="宋体" w:hAnsi="宋体"/>
                <w:color w:val="000000"/>
                <w:sz w:val="28"/>
                <w:szCs w:val="28"/>
              </w:rPr>
            </w:pPr>
          </w:p>
        </w:tc>
        <w:tc>
          <w:tcPr>
            <w:tcW w:w="1191" w:type="dxa"/>
            <w:noWrap/>
          </w:tcPr>
          <w:p w14:paraId="337A849F">
            <w:pPr>
              <w:spacing w:line="360" w:lineRule="auto"/>
              <w:rPr>
                <w:rFonts w:ascii="宋体" w:hAnsi="宋体"/>
                <w:color w:val="000000"/>
                <w:sz w:val="28"/>
                <w:szCs w:val="28"/>
              </w:rPr>
            </w:pPr>
          </w:p>
        </w:tc>
        <w:tc>
          <w:tcPr>
            <w:tcW w:w="1077" w:type="dxa"/>
            <w:noWrap/>
          </w:tcPr>
          <w:p w14:paraId="00F81A91">
            <w:pPr>
              <w:spacing w:line="360" w:lineRule="auto"/>
              <w:rPr>
                <w:rFonts w:ascii="宋体" w:hAnsi="宋体"/>
                <w:color w:val="000000"/>
                <w:sz w:val="28"/>
                <w:szCs w:val="28"/>
              </w:rPr>
            </w:pPr>
          </w:p>
        </w:tc>
        <w:tc>
          <w:tcPr>
            <w:tcW w:w="858" w:type="dxa"/>
            <w:noWrap/>
          </w:tcPr>
          <w:p w14:paraId="645902E3">
            <w:pPr>
              <w:spacing w:line="360" w:lineRule="auto"/>
              <w:rPr>
                <w:rFonts w:ascii="宋体" w:hAnsi="宋体"/>
                <w:color w:val="000000"/>
                <w:sz w:val="28"/>
                <w:szCs w:val="28"/>
              </w:rPr>
            </w:pPr>
          </w:p>
        </w:tc>
        <w:tc>
          <w:tcPr>
            <w:tcW w:w="1161" w:type="dxa"/>
            <w:noWrap/>
          </w:tcPr>
          <w:p w14:paraId="2F3298CB">
            <w:pPr>
              <w:spacing w:line="360" w:lineRule="auto"/>
              <w:rPr>
                <w:rFonts w:ascii="宋体" w:hAnsi="宋体"/>
                <w:color w:val="000000"/>
                <w:sz w:val="28"/>
                <w:szCs w:val="28"/>
              </w:rPr>
            </w:pPr>
          </w:p>
        </w:tc>
      </w:tr>
      <w:tr w14:paraId="302A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6EE6858">
            <w:pPr>
              <w:spacing w:line="360" w:lineRule="auto"/>
              <w:rPr>
                <w:rFonts w:ascii="宋体" w:hAnsi="宋体"/>
                <w:color w:val="000000"/>
                <w:sz w:val="28"/>
                <w:szCs w:val="28"/>
              </w:rPr>
            </w:pPr>
          </w:p>
        </w:tc>
        <w:tc>
          <w:tcPr>
            <w:tcW w:w="2026" w:type="dxa"/>
            <w:noWrap/>
          </w:tcPr>
          <w:p w14:paraId="3A986A99">
            <w:pPr>
              <w:spacing w:line="360" w:lineRule="auto"/>
              <w:rPr>
                <w:rFonts w:ascii="宋体" w:hAnsi="宋体"/>
                <w:color w:val="000000"/>
                <w:sz w:val="28"/>
                <w:szCs w:val="28"/>
              </w:rPr>
            </w:pPr>
          </w:p>
        </w:tc>
        <w:tc>
          <w:tcPr>
            <w:tcW w:w="1276" w:type="dxa"/>
            <w:noWrap/>
          </w:tcPr>
          <w:p w14:paraId="2EB3BE78">
            <w:pPr>
              <w:spacing w:line="360" w:lineRule="auto"/>
              <w:rPr>
                <w:rFonts w:ascii="宋体" w:hAnsi="宋体"/>
                <w:color w:val="000000"/>
                <w:sz w:val="28"/>
                <w:szCs w:val="28"/>
              </w:rPr>
            </w:pPr>
          </w:p>
        </w:tc>
        <w:tc>
          <w:tcPr>
            <w:tcW w:w="1191" w:type="dxa"/>
            <w:noWrap/>
          </w:tcPr>
          <w:p w14:paraId="15ABD8E6">
            <w:pPr>
              <w:spacing w:line="360" w:lineRule="auto"/>
              <w:rPr>
                <w:rFonts w:ascii="宋体" w:hAnsi="宋体"/>
                <w:color w:val="000000"/>
                <w:sz w:val="28"/>
                <w:szCs w:val="28"/>
              </w:rPr>
            </w:pPr>
          </w:p>
        </w:tc>
        <w:tc>
          <w:tcPr>
            <w:tcW w:w="1077" w:type="dxa"/>
            <w:noWrap/>
          </w:tcPr>
          <w:p w14:paraId="0F4D3763">
            <w:pPr>
              <w:spacing w:line="360" w:lineRule="auto"/>
              <w:rPr>
                <w:rFonts w:ascii="宋体" w:hAnsi="宋体"/>
                <w:color w:val="000000"/>
                <w:sz w:val="28"/>
                <w:szCs w:val="28"/>
              </w:rPr>
            </w:pPr>
          </w:p>
        </w:tc>
        <w:tc>
          <w:tcPr>
            <w:tcW w:w="858" w:type="dxa"/>
            <w:noWrap/>
          </w:tcPr>
          <w:p w14:paraId="263EF7E5">
            <w:pPr>
              <w:spacing w:line="360" w:lineRule="auto"/>
              <w:rPr>
                <w:rFonts w:ascii="宋体" w:hAnsi="宋体"/>
                <w:color w:val="000000"/>
                <w:sz w:val="28"/>
                <w:szCs w:val="28"/>
              </w:rPr>
            </w:pPr>
          </w:p>
        </w:tc>
        <w:tc>
          <w:tcPr>
            <w:tcW w:w="1161" w:type="dxa"/>
            <w:noWrap/>
          </w:tcPr>
          <w:p w14:paraId="6A626497">
            <w:pPr>
              <w:spacing w:line="360" w:lineRule="auto"/>
              <w:rPr>
                <w:rFonts w:ascii="宋体" w:hAnsi="宋体"/>
                <w:color w:val="000000"/>
                <w:sz w:val="28"/>
                <w:szCs w:val="28"/>
              </w:rPr>
            </w:pPr>
          </w:p>
        </w:tc>
      </w:tr>
    </w:tbl>
    <w:p w14:paraId="7AE8CA08">
      <w:pPr>
        <w:rPr>
          <w:rFonts w:ascii="宋体" w:hAnsi="宋体" w:cs="宋体"/>
          <w:b/>
          <w:sz w:val="36"/>
          <w:szCs w:val="36"/>
        </w:rPr>
      </w:pPr>
    </w:p>
    <w:p w14:paraId="6678EE65">
      <w:pPr>
        <w:spacing w:line="360" w:lineRule="auto"/>
        <w:rPr>
          <w:rFonts w:ascii="宋体" w:hAnsi="宋体" w:cs="宋体"/>
          <w:color w:val="000000"/>
          <w:sz w:val="28"/>
          <w:szCs w:val="28"/>
        </w:rPr>
      </w:pPr>
      <w:r>
        <w:rPr>
          <w:rFonts w:hint="eastAsia" w:ascii="宋体" w:hAnsi="宋体" w:cs="宋体"/>
          <w:color w:val="000000"/>
          <w:sz w:val="28"/>
          <w:szCs w:val="28"/>
        </w:rPr>
        <w:t>投标单位：（盖章）</w:t>
      </w:r>
    </w:p>
    <w:p w14:paraId="164DFE35">
      <w:pPr>
        <w:spacing w:line="360" w:lineRule="auto"/>
        <w:rPr>
          <w:rFonts w:ascii="宋体" w:hAnsi="宋体" w:cs="宋体"/>
          <w:color w:val="000000"/>
          <w:sz w:val="28"/>
          <w:szCs w:val="28"/>
        </w:rPr>
      </w:pPr>
      <w:r>
        <w:rPr>
          <w:rFonts w:hint="eastAsia" w:ascii="宋体" w:hAnsi="宋体" w:cs="宋体"/>
          <w:color w:val="000000"/>
          <w:sz w:val="28"/>
          <w:szCs w:val="28"/>
        </w:rPr>
        <w:t>法定代表人（或委托代理人）：（签章）</w:t>
      </w:r>
    </w:p>
    <w:p w14:paraId="0606FCFB">
      <w:pPr>
        <w:spacing w:line="360" w:lineRule="auto"/>
      </w:pPr>
      <w:r>
        <w:rPr>
          <w:rFonts w:hint="eastAsia" w:ascii="宋体" w:hAnsi="宋体" w:cs="宋体"/>
          <w:color w:val="000000"/>
          <w:sz w:val="28"/>
          <w:szCs w:val="28"/>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42716"/>
    <w:multiLevelType w:val="singleLevel"/>
    <w:tmpl w:val="9C142716"/>
    <w:lvl w:ilvl="0" w:tentative="0">
      <w:start w:val="1"/>
      <w:numFmt w:val="chineseCounting"/>
      <w:suff w:val="nothing"/>
      <w:lvlText w:val="%1、"/>
      <w:lvlJc w:val="left"/>
      <w:pPr>
        <w:ind w:left="3029" w:firstLine="0"/>
      </w:pPr>
      <w:rPr>
        <w:rFonts w:hint="eastAsia"/>
      </w:rPr>
    </w:lvl>
  </w:abstractNum>
  <w:abstractNum w:abstractNumId="1">
    <w:nsid w:val="3A05792B"/>
    <w:multiLevelType w:val="singleLevel"/>
    <w:tmpl w:val="3A05792B"/>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F3A20"/>
    <w:rsid w:val="00571F47"/>
    <w:rsid w:val="0063137F"/>
    <w:rsid w:val="009F3A20"/>
    <w:rsid w:val="00DD1A58"/>
    <w:rsid w:val="00EC00F6"/>
    <w:rsid w:val="1A533859"/>
    <w:rsid w:val="1CB8373F"/>
    <w:rsid w:val="1F742DE7"/>
    <w:rsid w:val="1FE62D75"/>
    <w:rsid w:val="20630DBB"/>
    <w:rsid w:val="224C4D1D"/>
    <w:rsid w:val="23E1189F"/>
    <w:rsid w:val="250C7A19"/>
    <w:rsid w:val="25170349"/>
    <w:rsid w:val="38173D72"/>
    <w:rsid w:val="4102348C"/>
    <w:rsid w:val="564D585E"/>
    <w:rsid w:val="56A459F3"/>
    <w:rsid w:val="67E76C6A"/>
    <w:rsid w:val="6AA329B7"/>
    <w:rsid w:val="6B196CAA"/>
    <w:rsid w:val="6C564BFE"/>
    <w:rsid w:val="6DC24689"/>
    <w:rsid w:val="6EBF559D"/>
    <w:rsid w:val="799F1295"/>
    <w:rsid w:val="7B2417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szCs w:val="20"/>
    </w:rPr>
  </w:style>
  <w:style w:type="paragraph" w:styleId="4">
    <w:name w:val="footer"/>
    <w:basedOn w:val="1"/>
    <w:link w:val="10"/>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unhideWhenUsed/>
    <w:qFormat/>
    <w:uiPriority w:val="99"/>
    <w:rPr>
      <w:color w:val="0000FF"/>
      <w:u w:val="single"/>
    </w:rPr>
  </w:style>
  <w:style w:type="character" w:customStyle="1" w:styleId="9">
    <w:name w:val="页眉 Char"/>
    <w:basedOn w:val="7"/>
    <w:link w:val="5"/>
    <w:semiHidden/>
    <w:qFormat/>
    <w:uiPriority w:val="99"/>
    <w:rPr>
      <w:sz w:val="18"/>
      <w:szCs w:val="18"/>
    </w:rPr>
  </w:style>
  <w:style w:type="character" w:customStyle="1" w:styleId="10">
    <w:name w:val="页脚 Char"/>
    <w:basedOn w:val="7"/>
    <w:link w:val="4"/>
    <w:semiHidden/>
    <w:qFormat/>
    <w:uiPriority w:val="99"/>
    <w:rPr>
      <w:sz w:val="18"/>
      <w:szCs w:val="18"/>
    </w:rPr>
  </w:style>
  <w:style w:type="character" w:customStyle="1" w:styleId="11">
    <w:name w:val="标题 1 Char"/>
    <w:basedOn w:val="7"/>
    <w:link w:val="2"/>
    <w:qFormat/>
    <w:uiPriority w:val="0"/>
    <w:rPr>
      <w:rFonts w:ascii="Times New Roman" w:hAnsi="Times New Roman" w:eastAsia="宋体" w:cs="Times New Roman"/>
      <w:b/>
      <w:bCs/>
      <w:kern w:val="44"/>
      <w:sz w:val="44"/>
      <w:szCs w:val="44"/>
    </w:rPr>
  </w:style>
  <w:style w:type="character" w:customStyle="1" w:styleId="12">
    <w:name w:val="font41"/>
    <w:basedOn w:val="7"/>
    <w:qFormat/>
    <w:uiPriority w:val="0"/>
    <w:rPr>
      <w:rFonts w:hint="eastAsia" w:ascii="宋体" w:hAnsi="宋体" w:eastAsia="宋体" w:cs="宋体"/>
      <w:b/>
      <w:bCs/>
      <w:color w:val="FF0000"/>
      <w:sz w:val="24"/>
      <w:szCs w:val="24"/>
      <w:u w:val="none"/>
    </w:rPr>
  </w:style>
  <w:style w:type="paragraph" w:styleId="13">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2510</Words>
  <Characters>2528</Characters>
  <Lines>48</Lines>
  <Paragraphs>13</Paragraphs>
  <TotalTime>8</TotalTime>
  <ScaleCrop>false</ScaleCrop>
  <LinksUpToDate>false</LinksUpToDate>
  <CharactersWithSpaces>2534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2025-11-17T01:16:00Z</dcterms:created>
  <dc:creator>Windows 用户</dc:creator>
  <cp:lastModifiedBy>爱谁谁</cp:lastModifiedBy>
  <dcterms:modified xsi:type="dcterms:W3CDTF">2026-09-03T03:12:48Z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eyJoZGlkIjoiY2NlMTI5NzliZjYyYzAwZDQ3NzVkMzdmMGZiOGZiMmMiLCJ1c2VySWQiOiIzMDAxMDI3NTcifQ==</vt:lpwstr>
  </property>
  <property fmtid="{D5CDD505-2E9C-101B-9397-08002B2CF9AE}" pid="3" name="KSOProductBuildVer">
    <vt:lpwstr>2052-12.1.0.28043</vt:lpwstr>
  </property>
  <property fmtid="{D5CDD505-2E9C-101B-9397-08002B2CF9AE}" pid="4" name="ICV">
    <vt:lpwstr>F590E37DFD194DB6A0DEDF207FC21FD0_12</vt:lpwstr>
  </property>
</Properties>
</file>